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62D3" w14:textId="1CA20E9F" w:rsidR="00630932" w:rsidRDefault="00630932" w:rsidP="00630932">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Appendix 24-25 Assessment Reports</w:t>
      </w:r>
    </w:p>
    <w:p w14:paraId="1B36C2E9" w14:textId="71E483C7" w:rsidR="00775F5E" w:rsidRPr="00207FF3" w:rsidRDefault="00775F5E" w:rsidP="00207FF3">
      <w:pPr>
        <w:pStyle w:val="paragraph"/>
        <w:spacing w:before="0" w:beforeAutospacing="0" w:after="0" w:afterAutospacing="0"/>
        <w:textAlignment w:val="baseline"/>
        <w:rPr>
          <w:rStyle w:val="normaltextrun"/>
          <w:rFonts w:cstheme="minorHAnsi"/>
          <w:b/>
          <w:bCs/>
        </w:rPr>
      </w:pPr>
      <w:r w:rsidRPr="00207FF3">
        <w:rPr>
          <w:rStyle w:val="normaltextrun"/>
          <w:rFonts w:asciiTheme="minorHAnsi" w:hAnsiTheme="minorHAnsi" w:cstheme="minorHAnsi"/>
          <w:b/>
          <w:bCs/>
          <w:sz w:val="22"/>
          <w:szCs w:val="22"/>
        </w:rPr>
        <w:t xml:space="preserve">Name: </w:t>
      </w:r>
      <w:proofErr w:type="spellStart"/>
      <w:r w:rsidRPr="00207FF3">
        <w:rPr>
          <w:rStyle w:val="normaltextrun"/>
          <w:rFonts w:asciiTheme="minorHAnsi" w:hAnsiTheme="minorHAnsi" w:cstheme="minorHAnsi"/>
          <w:sz w:val="22"/>
          <w:szCs w:val="22"/>
        </w:rPr>
        <w:t>MariAnne</w:t>
      </w:r>
      <w:proofErr w:type="spellEnd"/>
      <w:r w:rsidRPr="00207FF3">
        <w:rPr>
          <w:rStyle w:val="normaltextrun"/>
          <w:rFonts w:asciiTheme="minorHAnsi" w:hAnsiTheme="minorHAnsi" w:cstheme="minorHAnsi"/>
          <w:sz w:val="22"/>
          <w:szCs w:val="22"/>
        </w:rPr>
        <w:t xml:space="preserve"> Zavala-Lopez</w:t>
      </w:r>
    </w:p>
    <w:p w14:paraId="1EE029C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18B0906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5</w:t>
      </w:r>
    </w:p>
    <w:p w14:paraId="48A0FE69" w14:textId="14B39C54" w:rsidR="00775F5E" w:rsidRPr="00DE5B7E" w:rsidRDefault="00775F5E" w:rsidP="00775F5E">
      <w:pPr>
        <w:pStyle w:val="paragraph"/>
        <w:spacing w:before="0" w:beforeAutospacing="0" w:after="0" w:afterAutospacing="0"/>
        <w:textAlignment w:val="baseline"/>
        <w:rPr>
          <w:rFonts w:asciiTheme="minorHAnsi" w:hAnsiTheme="minorHAnsi" w:cstheme="minorBidi"/>
          <w:sz w:val="22"/>
          <w:szCs w:val="22"/>
        </w:rPr>
      </w:pPr>
      <w:r w:rsidRPr="18CE63C2">
        <w:rPr>
          <w:rStyle w:val="normaltextrun"/>
          <w:rFonts w:asciiTheme="minorHAnsi" w:hAnsiTheme="minorHAnsi" w:cstheme="minorBidi"/>
          <w:b/>
          <w:sz w:val="22"/>
          <w:szCs w:val="22"/>
        </w:rPr>
        <w:t>Course(s) and Outcome(s)</w:t>
      </w:r>
      <w:r w:rsidRPr="18CE63C2">
        <w:rPr>
          <w:rStyle w:val="normaltextrun"/>
          <w:rFonts w:asciiTheme="minorHAnsi" w:hAnsiTheme="minorHAnsi" w:cstheme="minorBidi"/>
          <w:sz w:val="22"/>
          <w:szCs w:val="22"/>
        </w:rPr>
        <w:t>: </w:t>
      </w:r>
      <w:r w:rsidRPr="18CE63C2">
        <w:rPr>
          <w:rStyle w:val="eop"/>
          <w:rFonts w:asciiTheme="minorHAnsi" w:hAnsiTheme="minorHAnsi" w:cstheme="minorBidi"/>
          <w:sz w:val="22"/>
          <w:szCs w:val="22"/>
        </w:rPr>
        <w:t> </w:t>
      </w:r>
      <w:r w:rsidRPr="18CE63C2">
        <w:rPr>
          <w:rFonts w:asciiTheme="minorHAnsi" w:hAnsiTheme="minorHAnsi" w:cstheme="minorBidi"/>
          <w:sz w:val="22"/>
          <w:szCs w:val="22"/>
        </w:rPr>
        <w:t xml:space="preserve"> </w:t>
      </w:r>
      <w:r w:rsidRPr="18CE63C2">
        <w:rPr>
          <w:rFonts w:cstheme="minorBidi"/>
        </w:rPr>
        <w:t xml:space="preserve">Advising Syllabus (course </w:t>
      </w:r>
      <w:r w:rsidR="38A2E0B6" w:rsidRPr="18CE63C2">
        <w:rPr>
          <w:rFonts w:cstheme="minorBidi"/>
          <w:noProof/>
        </w:rPr>
        <w:t>outcom</w:t>
      </w:r>
      <w:r w:rsidR="4162AE2C" w:rsidRPr="18CE63C2">
        <w:rPr>
          <w:rFonts w:cstheme="minorBidi"/>
          <w:noProof/>
        </w:rPr>
        <w:t>name</w:t>
      </w:r>
      <w:r w:rsidR="38A2E0B6" w:rsidRPr="18CE63C2">
        <w:rPr>
          <w:rFonts w:cstheme="minorBidi"/>
          <w:noProof/>
        </w:rPr>
        <w:t>es</w:t>
      </w:r>
      <w:r w:rsidRPr="18CE63C2">
        <w:rPr>
          <w:rFonts w:cstheme="minorBidi"/>
        </w:rPr>
        <w:t xml:space="preserve"> 3 &amp; 4)</w:t>
      </w:r>
    </w:p>
    <w:p w14:paraId="634CDC0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Students completing the Associate in Arts &amp; Science degree are required to complete a designated-diversity course. Students may be unaware of this requirement. Counselors will design alternative approaches that inform students of the diversity requirement (for example, email and/or video recording).  Additionally, counselors will inform students of the designated-diversity course options and how this course applies to the Associate in Arts &amp; Science degree during advising sessions. This assessment activity aligns with Institutional/Program Outcomes 1 &amp; 5. This assessment will inform the counselors of students’ knowledge of the diversity requirement and their understanding of how to satisfy the  requirement.  This will also provide counselors with students’ understanding of the diversity requirement.  Winter quarter advising begins during fall quarter 2024. The student survey will occur during winter quarter 2025. The counselors will explore ways to increase the number of student survey responses.</w:t>
      </w:r>
    </w:p>
    <w:p w14:paraId="16A3041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06E0BBA1"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Counselors designed a student survey where students indicated their knowledge of the Associate in Arts &amp; Science degree diversity course requirement. Additionally, students who had not completed the diversity requirement at the time of the survey were asked why this had not yet been satisfied. </w:t>
      </w:r>
    </w:p>
    <w:p w14:paraId="768AB7B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following seven questions were asked on the survey.     </w:t>
      </w:r>
    </w:p>
    <w:p w14:paraId="42B722C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1)</w:t>
      </w:r>
      <w:r w:rsidRPr="001F4245">
        <w:rPr>
          <w:rFonts w:cstheme="minorHAnsi"/>
          <w:noProof/>
        </w:rPr>
        <w:tab/>
        <w:t xml:space="preserve">Are you aware that completing the Associate in Arts &amp; Science Degree (AA&amp;S DTA) requires a diversity course?  </w:t>
      </w:r>
    </w:p>
    <w:p w14:paraId="06BEF03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2)</w:t>
      </w:r>
      <w:r w:rsidRPr="001F4245">
        <w:rPr>
          <w:rFonts w:cstheme="minorHAnsi"/>
          <w:noProof/>
        </w:rPr>
        <w:tab/>
        <w:t>How did you first learn about the diversity course requirement for the AA&amp;S DTA degree?</w:t>
      </w:r>
    </w:p>
    <w:p w14:paraId="6612040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3)</w:t>
      </w:r>
      <w:r w:rsidRPr="001F4245">
        <w:rPr>
          <w:rFonts w:cstheme="minorHAnsi"/>
          <w:noProof/>
        </w:rPr>
        <w:tab/>
        <w:t xml:space="preserve">If you are pursuing the AA&amp;S DTA degree, have you already completed the diversity course requirement?  </w:t>
      </w:r>
    </w:p>
    <w:p w14:paraId="5C30AA0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4)    Which course did you take to fulfill the diversity requirement? </w:t>
      </w:r>
    </w:p>
    <w:p w14:paraId="51F6A3B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5)    Which distribution category of the AA&amp;S DTA degree does this course fulfill?</w:t>
      </w:r>
    </w:p>
    <w:p w14:paraId="7DF32B3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6)    Please indicate why this requirement has not been met yet.</w:t>
      </w:r>
    </w:p>
    <w:p w14:paraId="74CD123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7)    Please name a course that satisfies the diversity requirement for the AA&amp;S DTA.</w:t>
      </w:r>
    </w:p>
    <w:p w14:paraId="7A40243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Counselors sent an email to their advisees informing them of the diversity course requirement before winter quarter enrollment.  Additionally, a document was included highlighting the designated-diversity courses offered for winter quarter.  </w:t>
      </w:r>
    </w:p>
    <w:p w14:paraId="09BB1FC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An informational video regarding the diversity course requirement for the Associate in Arts and Science degree was developed prior to winter quarter enrollment. The counselors created the script, two M.E.Ch.A. students volunteered to do the recording, and Title V (The HEART project) staff produced the video for students to view via Tuesday Tips on Canvas.</w:t>
      </w:r>
    </w:p>
    <w:p w14:paraId="6ABF43F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469EAAA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5004A4CD"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58 students responded to the survey.</w:t>
      </w:r>
    </w:p>
    <w:p w14:paraId="5D331CC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The first question in the survey asked—Are you aware that completing the Associate in Arts &amp; Science</w:t>
      </w:r>
    </w:p>
    <w:p w14:paraId="0CE48D2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Degree (AA&amp;S DTA) requires a diversity course?— Students who answered “no” to this question were informed about the diversity requirement and provided information on how to obtain further information about this requirement. For these students, the survey concluded at that point.</w:t>
      </w:r>
    </w:p>
    <w:p w14:paraId="3708299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 </w:t>
      </w:r>
    </w:p>
    <w:p w14:paraId="4F2FB16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67.2% (39) of students were aware of the diversity requirement. Of the 67.2% of students who indicated they were aware of the diversity requirement, 66.7% (26 students) indicated that they learned about it from their advisor. Other sources of information included New Student Enrollment, an instructor, and another student.  One student responded that they were not sure how they became aware of the requirement. </w:t>
      </w:r>
    </w:p>
    <w:p w14:paraId="73B5EE2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At the time of completing the survey 48.7% of students indicated they had already satisfied their diversity </w:t>
      </w:r>
    </w:p>
    <w:p w14:paraId="257DFBF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lastRenderedPageBreak/>
        <w:t xml:space="preserve">course requirement. Another 33.3% indicated that they have not completed the requirement, while 17.9% indicated they were not pursuing the AA&amp;S degree. Of the 39 students who responded they were aware of the diversity requirement, 13 students answered the question about having satisfied it. Of those, 10 students accurately identified one of the 18 designated-diversity courses.   Most students (61.5%) identified that the diversity course they completed also fulfilled a requirement within the Humanities distribution. </w:t>
      </w:r>
    </w:p>
    <w:p w14:paraId="6D37728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Students were asked why they had not yet fulfilled the diversity requirement at the time of the survey. The most common response, selected by 52.6% of students, was: “The diversity courses offered did not fit my schedule or conflicted with other classes.”  This was followed by 36.8% of students who responded “I don’t know how to identify which courses fulfill the diversity requirement.” </w:t>
      </w:r>
    </w:p>
    <w:p w14:paraId="0D89C675" w14:textId="750FA827" w:rsidR="00775F5E" w:rsidRPr="00775F5E" w:rsidRDefault="00775F5E" w:rsidP="00775F5E">
      <w:pPr>
        <w:pStyle w:val="paragraph"/>
        <w:spacing w:before="0" w:beforeAutospacing="0" w:after="0" w:afterAutospacing="0"/>
        <w:textAlignment w:val="baseline"/>
        <w:rPr>
          <w:rFonts w:cstheme="minorHAnsi"/>
          <w:noProof/>
        </w:rPr>
      </w:pPr>
      <w:r w:rsidRPr="001F4245">
        <w:rPr>
          <w:rFonts w:cstheme="minorHAnsi"/>
          <w:noProof/>
        </w:rPr>
        <w:t>As an incentive to participate in this assessment, students were invited to complete an online survey. Fifty-seven of the 58 students who completed the survey entered their names into the drawing for a $50 Amazon gift card, funded by the BBCC Foundation. Two students were randomly selected as winners.</w:t>
      </w:r>
    </w:p>
    <w:p w14:paraId="798F294E"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Based on the results of this assessment, the counselors will continue to explore ways for communicating the diversity course requirement such as, printed signs listing the designated diversity courses, student emails, and videos such as Tuesday Tips.  </w:t>
      </w:r>
    </w:p>
    <w:p w14:paraId="04308C0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Counselors will continue to show students the completion status of their diversity requirement on their Advisement Report/educational plan.</w:t>
      </w:r>
    </w:p>
    <w:p w14:paraId="27786F1C" w14:textId="440717C1"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The counselors reviewed data on diversity course enrollment (provided by Institutional Research) to gain a better understanding of courses students are selecting to fulfill their diversity requirement. For example, winter quarter was the quarter with the highest diversity course enrollment for the 2024-25 year. ART&amp; 100 had the highest  enrollment with 251 students, followed by REL 201 with 79 students. Thirteen diversity courses were offered in total—10 in humanities and 3 in social science. Five designated-diversity courses were not offered during the 2024-25 academic year.</w:t>
      </w:r>
    </w:p>
    <w:p w14:paraId="2BA93FE4" w14:textId="5F272E96"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This assessment has reinforced the counselor’s advising efforts regarding the designated-diversity course requirement.  Counselors will examine ways to improve advising practices.</w:t>
      </w:r>
    </w:p>
    <w:p w14:paraId="1704D8A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p>
    <w:p w14:paraId="2FF976A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Based on this assessment, the counselors are examining ways to share this information and advising resources with other advisors. </w:t>
      </w:r>
    </w:p>
    <w:p w14:paraId="0095B164" w14:textId="543C6C63"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college should recognize that students are learning about the diversity course requirement in multiple places. Information about this requirement needs to be easy to access, accurate, and readily available for students and advisors. It is important that instructors and advisors receive training and up-to-date information. </w:t>
      </w:r>
    </w:p>
    <w:p w14:paraId="185DBD07" w14:textId="2D16F4CC" w:rsidR="00775F5E" w:rsidRPr="00775F5E"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college should make available for students a list of designated-diversity courses and develop an annual schedule that provides students multiple course selections, modalities, and times. For example, of the 30 diversity course offerings in 2024-25, 11 (37%) were hybrid, and 19 (63%) were online courses. </w:t>
      </w:r>
    </w:p>
    <w:p w14:paraId="19EADD5E"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623B24AE" w14:textId="60ABC3F5"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Aaron Mahoney</w:t>
      </w:r>
    </w:p>
    <w:p w14:paraId="11FB16A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689FFC2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5</w:t>
      </w:r>
    </w:p>
    <w:p w14:paraId="5C99199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AGR 120, Introduction to Precision AG, PO5 Students will use the appropriate tools and/or software related to the agricultural system</w:t>
      </w:r>
    </w:p>
    <w:p w14:paraId="7877A33F"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 xml:space="preserve">The agriculture industry relies heavily on spreadsheets for managing a wide array of tasks, such as tracking crop yields, monitoring expenses, analyzing soil data, and projecting future production. Spreadsheets are essential for organizing vast amounts of data in a clear and accessible manner, which aids in making informed decisions that enhance productivity and profitability. </w:t>
      </w:r>
    </w:p>
    <w:p w14:paraId="20BEAF9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However, many students possess a limited understanding of spreadsheet software, which can hinder their ability to effectively utilize these tools when they enter the workforce, revealing a significant gap in their skillset.</w:t>
      </w:r>
    </w:p>
    <w:p w14:paraId="4E62BF2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By learning where students are deficient in using spreadsheet and providing a better base knowledge, they can gain a broader understanding of data management and analysis. </w:t>
      </w:r>
    </w:p>
    <w:p w14:paraId="3D4CBED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This education can empower them with a versatile skillset, enabling them to handle complex data sets and perform sophisticated calculations and visualizations. As a result, students will become more proficient and effective in using spreadsheets, making them better equipped for careers in agriculture and other data-driven fields. This enhanced proficiency can lead to improved decision-making and efficiency in their professional lives.</w:t>
      </w:r>
    </w:p>
    <w:p w14:paraId="44433A3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p>
    <w:p w14:paraId="621D3B9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16837050"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Students will complete a two-part assessment involving a general tutorial and an advanced tutorial on Excel skills. The first part will assess their basic proficiency in creating and formatting spreadsheets, while the second part will challenge them to apply more advanced features, including formulas and data visualization. Both parts will be graded using a rubric that evaluates accuracy, completeness, and application of skills learned. The goals of this assessment will be for students to effectively create and manipulate spreadsheets in Excel to analyze agricultural data. This assessment will also hopefully, remove the common misconception that spreadsheets are only for financial data and therefore, may not see their relevance in agricultural contexts. The following outcomes will be assessed by both parts:</w:t>
      </w:r>
    </w:p>
    <w:p w14:paraId="4B7874D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1)</w:t>
      </w:r>
      <w:r w:rsidRPr="001F4245">
        <w:rPr>
          <w:rFonts w:cstheme="minorHAnsi"/>
          <w:noProof/>
        </w:rPr>
        <w:tab/>
        <w:t>Spreadsheet Basics: Understanding the interface of Excel, including cells, rows, columns, and basic formatting options.</w:t>
      </w:r>
    </w:p>
    <w:p w14:paraId="67275CC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2)</w:t>
      </w:r>
      <w:r w:rsidRPr="001F4245">
        <w:rPr>
          <w:rFonts w:cstheme="minorHAnsi"/>
          <w:noProof/>
        </w:rPr>
        <w:tab/>
        <w:t>Data Manipulation: Learning how to input, edit, and delete data within a spreadsheet.</w:t>
      </w:r>
    </w:p>
    <w:p w14:paraId="6C1E539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3)</w:t>
      </w:r>
      <w:r w:rsidRPr="001F4245">
        <w:rPr>
          <w:rFonts w:cstheme="minorHAnsi"/>
          <w:noProof/>
        </w:rPr>
        <w:tab/>
        <w:t>Formulas and Functions: Introduction to basic formulas (e.g., SUM, AVERAGE) and understanding their application in data analysis.</w:t>
      </w:r>
    </w:p>
    <w:p w14:paraId="6279D53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4)</w:t>
      </w:r>
      <w:r w:rsidRPr="001F4245">
        <w:rPr>
          <w:rFonts w:cstheme="minorHAnsi"/>
          <w:noProof/>
        </w:rPr>
        <w:tab/>
        <w:t>Data Visualization: Utilizing charts and graphs to represent data visually and enhance understanding.</w:t>
      </w:r>
    </w:p>
    <w:p w14:paraId="76F6A26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5)</w:t>
      </w:r>
      <w:r w:rsidRPr="001F4245">
        <w:rPr>
          <w:rFonts w:cstheme="minorHAnsi"/>
          <w:noProof/>
        </w:rPr>
        <w:tab/>
        <w:t>Active Learning Approach: Engaging students through hands-on activities and peer collaboration during the advanced tutorial.</w:t>
      </w:r>
    </w:p>
    <w:p w14:paraId="6EC2604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31F4699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0884CCE9"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 xml:space="preserve">The first part assessed their basic proficiency in creating and formatting spreadsheets, while the second part challenged them to apply more advanced features and provided more in-depth procedures, increased visuals, and increased explanations on how to manage different applications in Excel, including formulas and data visualization (graphs). By using the same rubric to grade both assessments, I was able to evaluate accuracy, completeness, and application of skills learned. </w:t>
      </w:r>
    </w:p>
    <w:p w14:paraId="69B5B97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initial assessment revealed that students initially had a low understanding and basic knowledge of Excel, scoring around 50-60% based on the assessment rubric. Most students were able to complete both parts of the assessment using a general tutorial and the enhanced stepwise tutorial on Excel skills. However, moderate support and gaps in knowledge were observed. </w:t>
      </w:r>
    </w:p>
    <w:p w14:paraId="7B982A1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In the initial assessment, most students were unable to effectively create and manipulate spreadsheets in Excel to analyze agricultural data without a moderate amount of support or further explanation of the process. However, after participating in enhanced tutorials, students demonstrated significant improvement, with scores </w:t>
      </w:r>
      <w:r w:rsidRPr="001F4245">
        <w:rPr>
          <w:rFonts w:cstheme="minorHAnsi"/>
          <w:noProof/>
        </w:rPr>
        <w:lastRenderedPageBreak/>
        <w:t xml:space="preserve">rising to around 70-80% based on the rubric, indicating a better grasp and more effective use of Excel's capabilities. </w:t>
      </w:r>
    </w:p>
    <w:p w14:paraId="1E004462" w14:textId="1B9A8CE6" w:rsidR="00775F5E" w:rsidRPr="00775F5E" w:rsidRDefault="00775F5E" w:rsidP="00775F5E">
      <w:pPr>
        <w:pStyle w:val="paragraph"/>
        <w:spacing w:before="0" w:beforeAutospacing="0" w:after="0" w:afterAutospacing="0"/>
        <w:textAlignment w:val="baseline"/>
        <w:rPr>
          <w:rFonts w:cstheme="minorHAnsi"/>
          <w:noProof/>
        </w:rPr>
      </w:pPr>
      <w:r w:rsidRPr="001F4245">
        <w:rPr>
          <w:rFonts w:cstheme="minorHAnsi"/>
          <w:noProof/>
        </w:rPr>
        <w:t>Overall, this assessment suggested a low base knowledge of Excel, which is needed for many agricultural occupations or tasks. It also indicated that students are not learning spreadsheet applications before attending my precision AG course. Furthermore, it suggests that remediation is needed prior to students taking the required Business Information Management (BIM) courses to be able to effectively use spreadsheets in data-driven agriculture courses.</w:t>
      </w:r>
    </w:p>
    <w:p w14:paraId="0B4C28B0"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As students needed moderate amounts of remediation and support prior to taking data-driven agriculture courses, this assessment suggests incorporating a computer or active-learning lab with a tutorial-based assignment for the precision AG course. </w:t>
      </w:r>
    </w:p>
    <w:p w14:paraId="19BD0029" w14:textId="1F9CB39B" w:rsidR="00775F5E" w:rsidRPr="00081598" w:rsidRDefault="00775F5E" w:rsidP="00081598">
      <w:pPr>
        <w:pStyle w:val="paragraph"/>
        <w:spacing w:before="0" w:beforeAutospacing="0" w:after="0" w:afterAutospacing="0"/>
        <w:textAlignment w:val="baseline"/>
        <w:rPr>
          <w:rFonts w:cstheme="minorHAnsi"/>
          <w:noProof/>
        </w:rPr>
      </w:pPr>
      <w:r w:rsidRPr="001F4245">
        <w:rPr>
          <w:rFonts w:cstheme="minorHAnsi"/>
          <w:noProof/>
        </w:rPr>
        <w:t xml:space="preserve">The students also needed moderate support with the basic tutorial, further supporting the need to incorporate the more enhanced, stepwise tutorial into future assignments. Since the Precision Agriculture (AG) course is a core course required for the AG degree, co-enrollment in a Business Information Management (BIM) course or providing this Excel assignment would be warranted for future curriculum improvements for the program or the AGR 120 course. </w:t>
      </w:r>
      <w:r w:rsidRPr="00791FA3">
        <w:rPr>
          <w:rFonts w:ascii="Calibri" w:hAnsi="Calibri" w:cs="Calibri"/>
        </w:rPr>
        <w:t> </w:t>
      </w:r>
    </w:p>
    <w:p w14:paraId="02BBF359"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7F73579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Chris Dinges</w:t>
      </w:r>
    </w:p>
    <w:p w14:paraId="06F57B1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12808D7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4</w:t>
      </w:r>
    </w:p>
    <w:p w14:paraId="68BF826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AMT 150, AMT 152, AMT 253</w:t>
      </w:r>
    </w:p>
    <w:p w14:paraId="15FA1BB6" w14:textId="2FA7D973" w:rsidR="00775F5E" w:rsidRPr="00DE5B7E" w:rsidRDefault="00775F5E" w:rsidP="00775F5E">
      <w:pPr>
        <w:pStyle w:val="paragraph"/>
        <w:spacing w:before="0" w:beforeAutospacing="0" w:after="0" w:afterAutospacing="0"/>
        <w:textAlignment w:val="baseline"/>
        <w:rPr>
          <w:rFonts w:asciiTheme="minorHAnsi" w:hAnsiTheme="minorHAnsi" w:cstheme="minorBidi"/>
          <w:sz w:val="22"/>
          <w:szCs w:val="22"/>
        </w:rPr>
      </w:pPr>
      <w:r w:rsidRPr="1B2630D8">
        <w:rPr>
          <w:rFonts w:asciiTheme="minorHAnsi" w:hAnsiTheme="minorHAnsi" w:cstheme="minorBidi"/>
          <w:b/>
          <w:sz w:val="22"/>
          <w:szCs w:val="22"/>
        </w:rPr>
        <w:t>What equity gap are you seeking to address AND what is the problem/concern you are attempting to resolve through this assessment?</w:t>
      </w:r>
      <w:r>
        <w:br/>
      </w:r>
      <w:r w:rsidRPr="1B2630D8">
        <w:rPr>
          <w:rStyle w:val="normaltextrun"/>
          <w:rFonts w:asciiTheme="minorHAnsi" w:hAnsiTheme="minorHAnsi" w:cstheme="minorBidi"/>
          <w:sz w:val="22"/>
          <w:szCs w:val="22"/>
        </w:rPr>
        <w:t>​</w:t>
      </w:r>
      <w:r w:rsidRPr="1B2630D8">
        <w:rPr>
          <w:rStyle w:val="eop"/>
          <w:rFonts w:asciiTheme="minorHAnsi" w:hAnsiTheme="minorHAnsi" w:cstheme="minorBidi"/>
          <w:sz w:val="22"/>
          <w:szCs w:val="22"/>
        </w:rPr>
        <w:t> </w:t>
      </w:r>
      <w:r w:rsidRPr="1B2630D8">
        <w:rPr>
          <w:rFonts w:cstheme="minorBidi"/>
        </w:rPr>
        <w:t xml:space="preserve">We found that there is a significant </w:t>
      </w:r>
      <w:r w:rsidR="1282634F" w:rsidRPr="1B2630D8">
        <w:rPr>
          <w:rFonts w:cstheme="minorBidi"/>
          <w:noProof/>
        </w:rPr>
        <w:t>gap</w:t>
      </w:r>
      <w:r w:rsidRPr="1B2630D8">
        <w:rPr>
          <w:rFonts w:cstheme="minorBidi"/>
          <w:noProof/>
        </w:rPr>
        <w:t xml:space="preserve"> </w:t>
      </w:r>
      <w:r w:rsidRPr="1B2630D8">
        <w:rPr>
          <w:rFonts w:cstheme="minorBidi"/>
        </w:rPr>
        <w:t xml:space="preserve">in the success rate of the non-traditional aged student populations, however, due to FAA </w:t>
      </w:r>
      <w:r w:rsidRPr="2CF3B21B">
        <w:rPr>
          <w:rFonts w:cstheme="minorBidi"/>
          <w:noProof/>
        </w:rPr>
        <w:t>requi</w:t>
      </w:r>
      <w:r w:rsidR="3FC4B1C1" w:rsidRPr="2CF3B21B">
        <w:rPr>
          <w:rFonts w:cstheme="minorBidi"/>
          <w:noProof/>
        </w:rPr>
        <w:t>remen</w:t>
      </w:r>
      <w:r w:rsidRPr="2CF3B21B">
        <w:rPr>
          <w:rFonts w:cstheme="minorBidi"/>
          <w:noProof/>
        </w:rPr>
        <w:t>ts</w:t>
      </w:r>
      <w:r w:rsidRPr="1B2630D8">
        <w:rPr>
          <w:rFonts w:cstheme="minorBidi"/>
        </w:rPr>
        <w:t xml:space="preserve"> we are unable to make the scheduling </w:t>
      </w:r>
      <w:r w:rsidRPr="7DD4C0EC">
        <w:rPr>
          <w:rFonts w:cstheme="minorBidi"/>
          <w:noProof/>
        </w:rPr>
        <w:t>change</w:t>
      </w:r>
      <w:r w:rsidR="1E643BF8" w:rsidRPr="7DD4C0EC">
        <w:rPr>
          <w:rFonts w:cstheme="minorBidi"/>
          <w:noProof/>
        </w:rPr>
        <w:t>s</w:t>
      </w:r>
      <w:r w:rsidRPr="1B2630D8">
        <w:rPr>
          <w:rFonts w:cstheme="minorBidi"/>
        </w:rPr>
        <w:t xml:space="preserve"> that we feel would be needed to address that gap. We also found a significant difference between male and female student enrollment in the AMT program. For academic year 24-25 we are going to focus our efforts on addressing the enrollment gap with more targeted recruiting efforts directed at increasing our female identifying student population.</w:t>
      </w:r>
    </w:p>
    <w:p w14:paraId="3705BF6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728BB0C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Using the success dashboard we saw that during the 2023-2024 academic year there were 66 male students and only 4 female students enrolled in the identified courses.</w:t>
      </w:r>
      <w:r w:rsidRPr="00DE5B7E">
        <w:rPr>
          <w:rFonts w:asciiTheme="minorHAnsi" w:hAnsiTheme="minorHAnsi" w:cstheme="minorHAnsi"/>
          <w:sz w:val="22"/>
          <w:szCs w:val="22"/>
        </w:rPr>
        <w:t xml:space="preserve"> </w:t>
      </w:r>
    </w:p>
    <w:p w14:paraId="740A63A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4D9E5DC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We had a significant increase in women in our program this year. We interviewed the students asking what brought them to aviation maintenance and what we could do to help enroll more women. They all had different reasons to attend our AMT program however there was a definite overall report of women being scared to enter a technical field due to lack prior maintenance experience. They had extremely positive reviews of our program due to us starting at a very beginner level.</w:t>
      </w:r>
      <w:r w:rsidRPr="00DE5B7E">
        <w:rPr>
          <w:rFonts w:asciiTheme="minorHAnsi" w:hAnsiTheme="minorHAnsi" w:cstheme="minorHAnsi"/>
          <w:sz w:val="22"/>
          <w:szCs w:val="22"/>
        </w:rPr>
        <w:t xml:space="preserve"> </w:t>
      </w:r>
    </w:p>
    <w:p w14:paraId="1B751886" w14:textId="1BF23DD0" w:rsidR="00775F5E" w:rsidRPr="00081598" w:rsidRDefault="00775F5E" w:rsidP="00081598">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We are working with our media department to have a video made that interviews our female students to post on our webpage. Or goal is to have the students share their experience in our program and provide encouragement to those that would normally be afraid to apply to our program.</w:t>
      </w:r>
      <w:r w:rsidRPr="00791FA3">
        <w:rPr>
          <w:rFonts w:ascii="Calibri" w:hAnsi="Calibri" w:cs="Calibri"/>
        </w:rPr>
        <w:t> </w:t>
      </w:r>
    </w:p>
    <w:p w14:paraId="763A7D61"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3CE8F4F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Dustin Regul</w:t>
      </w:r>
    </w:p>
    <w:p w14:paraId="500B666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606444C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5</w:t>
      </w:r>
    </w:p>
    <w:p w14:paraId="01AE509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ART230 Painting/Drawing Workshop</w:t>
      </w:r>
    </w:p>
    <w:p w14:paraId="17569EB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The gap in decision making confidence when posed with ambiguous visual problems (PO5). I attempted to devise situational reflections and forced diversions within course assignments.</w:t>
      </w:r>
    </w:p>
    <w:p w14:paraId="71131DC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056B647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I approached this three ways; 1) Assigned readings from “Art &amp; Fear.” This book discussed the common fears and struggles of artists when struggling with ambiguity. 2) Video reflections and written responses. Students would have weekly online videos to watch, each one being about a different artist and their creative process. The written response would be a reflection on their creative process and how it related to the reading from “Art &amp; Fear.” 3) During in-class projects, there would be times students were forced to hand their project over to a peer, let them change or add anything they wanted to the artwork, then once they got their artwork back, they needed to accept the changes, consider alternatives, adapt, and continue to create.</w:t>
      </w:r>
      <w:r w:rsidRPr="00DE5B7E">
        <w:rPr>
          <w:rFonts w:asciiTheme="minorHAnsi" w:hAnsiTheme="minorHAnsi" w:cstheme="minorHAnsi"/>
          <w:sz w:val="22"/>
          <w:szCs w:val="22"/>
        </w:rPr>
        <w:t xml:space="preserve"> </w:t>
      </w:r>
    </w:p>
    <w:p w14:paraId="03F91F9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073DA3D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Some of the strongest artwork I’ve ever received from an entry level art class. Students who previously were crippled by problems that weren’t simply black and white were confidently taking risks, assessing, reflecting, adapting, and creating.</w:t>
      </w:r>
      <w:r w:rsidRPr="00DE5B7E">
        <w:rPr>
          <w:rFonts w:asciiTheme="minorHAnsi" w:hAnsiTheme="minorHAnsi" w:cstheme="minorHAnsi"/>
          <w:sz w:val="22"/>
          <w:szCs w:val="22"/>
        </w:rPr>
        <w:t xml:space="preserve"> </w:t>
      </w:r>
    </w:p>
    <w:p w14:paraId="62C373F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Based on the results of the assessment, I am going to continue to build upon ways to develop confident decision-making students. Will these results change the way you teach? Yes. Why or why not? Because the experiments made in this course have shown me that they are successful and can be implemented in my other courses. Do the results confirm some aspect of your teaching? It confirms that creativity is something that can be taught. Not just some magical born-with ability.</w:t>
      </w:r>
    </w:p>
    <w:p w14:paraId="2DA8A542"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39D8A8B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Richard Wynder</w:t>
      </w:r>
    </w:p>
    <w:p w14:paraId="47CE841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58AD9AD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6</w:t>
      </w:r>
    </w:p>
    <w:p w14:paraId="17198D4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AUT 105 Computer Applications  Course Outcome 4.</w:t>
      </w:r>
      <w:r w:rsidRPr="001F4245">
        <w:rPr>
          <w:rFonts w:cstheme="minorHAnsi"/>
          <w:noProof/>
        </w:rPr>
        <w:tab/>
        <w:t>Perform basic word processing operations using the current Microsoft Word Processing program</w:t>
      </w:r>
    </w:p>
    <w:p w14:paraId="4A4CF97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Since COVID lockdown and subsequent changes in instruction to accommodate various changing protocols, I have noticed a disconnect with between students and on-time attendance and assignment completion. During COVID this course was substituted with BIM 110 as an online modality to allow for distancing. I heard a number of student complaints as we continued to use BIM 110 (difficulty, number of assignments, access to the lab, etc.). When I was allowed to resume AUT 105 in spring 2023 I noticed the disconnect. On-time attendance was rare, and assignments were slow in being returned. Another issue was the Microsoft switch to Office 365 from previous software versions. The students also prefer to use Office web apps and share documents rather than attaching them. This is because they like to use their phones for assignments. I frequently pointed out that phones and tablets were media consumers not media creators and that they should be borrowing computers, if need be, from the library. By the way, this trend is in all my courses.</w:t>
      </w:r>
    </w:p>
    <w:p w14:paraId="060A1D1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4D0A1E2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I included an attendance component to the students’ grade to encourage them to be in class each day on-time. That is especially important for an 8 AM class. Students tend to be late frequently to early classes. I also asked that they check-out a computer from the library to complete their assignments rather than use the web app. On day-one I did a presentation about my daily expectations of attendance and the need to do their daily assignments quickly or they will fall behind. They were handed a syllabus with the attendance policy which I read aloud with them and also emailed a copy to each of the students. I also asked students to print their assignments for me, but the 1802 printer was unreliable, so many sent me their assignments via “share” from a web app, just as I had asked them not to. One student claimed he did not have Word at home, I reminded him of my request on day-one to check out a computer from the library.</w:t>
      </w:r>
      <w:r w:rsidRPr="00DE5B7E">
        <w:rPr>
          <w:rFonts w:asciiTheme="minorHAnsi" w:hAnsiTheme="minorHAnsi" w:cstheme="minorHAnsi"/>
          <w:sz w:val="22"/>
          <w:szCs w:val="22"/>
        </w:rPr>
        <w:t xml:space="preserve"> </w:t>
      </w:r>
    </w:p>
    <w:p w14:paraId="18334CC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0315583F"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Regardless of the attendance policy and frequent progress reports, many students still performed somewhat poorly because of attendance and falling behind. Perhaps it is a general lack of interest in a computer related class. Some observations are that current students are coming into post-secondary education with limited email etiquette, poor word processing skills, and no knowledge of Excel. Interestingly, they do well in PowerPoint. The reason for the PowerPoint strength may be because I had them create a presentation on any topic that interested them.</w:t>
      </w:r>
    </w:p>
    <w:p w14:paraId="104C3811" w14:textId="00B89045" w:rsidR="00775F5E" w:rsidRPr="00775F5E" w:rsidRDefault="00775F5E" w:rsidP="00775F5E">
      <w:pPr>
        <w:pStyle w:val="paragraph"/>
        <w:spacing w:before="0" w:beforeAutospacing="0" w:after="0" w:afterAutospacing="0"/>
        <w:textAlignment w:val="baseline"/>
        <w:rPr>
          <w:rFonts w:cstheme="minorHAnsi"/>
          <w:noProof/>
        </w:rPr>
      </w:pPr>
      <w:r w:rsidRPr="001F4245">
        <w:rPr>
          <w:rFonts w:cstheme="minorHAnsi"/>
          <w:noProof/>
        </w:rPr>
        <w:t>One observation from students who performed better, which possibly may be extrapolated to include all the students if they were interested in working hard; is that they are quick to pick up what they are taught if they immediately apply it during class time. If they wait to do it at home or somewhere else later, they either forget, or they use a web-based program with different tool bars than the Microsoft 365 programs, which leads to confusion.</w:t>
      </w:r>
    </w:p>
    <w:p w14:paraId="570FA6DC"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It would appear that the structure of the course should be changed to a longer class time and perhaps later in the day rather than 8 AM. A requirement should be that students have a PC with the latest Microsoft programs available to them and/or access to a lab in their free time. As far as attendance is concerned, I have noticed the same issues with my auto classes. Whether this is some blip in the way students approach school or whether it is a trend, only time will tell.</w:t>
      </w:r>
    </w:p>
    <w:p w14:paraId="0E77E1CE" w14:textId="43834E8E" w:rsidR="00775F5E" w:rsidRPr="00775F5E" w:rsidRDefault="00775F5E" w:rsidP="00775F5E">
      <w:pPr>
        <w:pStyle w:val="paragraph"/>
        <w:spacing w:before="0" w:beforeAutospacing="0" w:after="0" w:afterAutospacing="0"/>
        <w:textAlignment w:val="baseline"/>
        <w:rPr>
          <w:rFonts w:cstheme="minorHAnsi"/>
          <w:noProof/>
        </w:rPr>
      </w:pPr>
      <w:r w:rsidRPr="001F4245">
        <w:rPr>
          <w:rFonts w:cstheme="minorHAnsi"/>
          <w:noProof/>
        </w:rPr>
        <w:t>Going forward, because of administration’s push to lower Workforce program total degree credits and in conversation with other programs, I believe the AUT 105 course should be dropped as a graduation requirement and discontinued. I do believe, however, that a BIM course like BIM 110 should be a suggested elective to provide skills I think current students lack, but need for the future.</w:t>
      </w:r>
    </w:p>
    <w:p w14:paraId="5FFDB1E8"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229F0B31"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4A7D1E9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Benjamin Altrogge</w:t>
      </w:r>
    </w:p>
    <w:p w14:paraId="3D0B146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Human Relations / Workplace Skills</w:t>
      </w:r>
    </w:p>
    <w:p w14:paraId="6D1B21F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5</w:t>
      </w:r>
    </w:p>
    <w:p w14:paraId="44F3CDF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AVF 252, AVF 253</w:t>
      </w:r>
    </w:p>
    <w:p w14:paraId="583040BC"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We are addressing three areas of concern with our 2024/2025 school year assessment:</w:t>
      </w:r>
    </w:p>
    <w:p w14:paraId="4E30504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1. Course success rate and time to completion for student cohorts in stage 5 (AVF 252) and stage 7 (AVF 253) of commercial pilot program.</w:t>
      </w:r>
    </w:p>
    <w:p w14:paraId="2E838CE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2. Equity in program success /enrollment rates with historically underrepresented groups.</w:t>
      </w:r>
    </w:p>
    <w:p w14:paraId="07C24C9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3. Course outcomes in AVF 252 and AVF 253 related to PO5 (“students will be able to demonstrate the technical aspects of aircraft control”)</w:t>
      </w:r>
    </w:p>
    <w:p w14:paraId="44013DA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p>
    <w:p w14:paraId="7EA7391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7045DFC6"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The tools that were used to assess areas of concern were as follows:</w:t>
      </w:r>
    </w:p>
    <w:p w14:paraId="43A6A69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1. To assess overall student success rates the Course Success dashboards have been reviewed for the fall 2024 quarter through the spring 2025 quarter. In addition, program specific data on the average number of days to complete AVF 252 and AVF253 were tabulated and compared to our 2022/2023 assessment data for loop closing assessment.</w:t>
      </w:r>
    </w:p>
    <w:p w14:paraId="6B51CBD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2. Course success dashboards have been used to analyze historically underrepresented groups for course enrollment/completion against the overall student enrollment/program completion rates.</w:t>
      </w:r>
    </w:p>
    <w:p w14:paraId="3C05E0E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3. AVF 252 and AVF253 were both analyzed through data collected from the comprehensive stage checks given at the conclusion of training. This material was used to evaluate program outcome #5 “students will be able to demonstrate the technical aspects of aircraft control.”</w:t>
      </w:r>
    </w:p>
    <w:p w14:paraId="4891EA0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20CC5F9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5B7C1B84"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AVF 252:</w:t>
      </w:r>
    </w:p>
    <w:p w14:paraId="433873D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The use of the data dashboards for course success for AVF 252 for 2024-2025 cohort is not possible. Due to the significant delay in data being posted to the dashboard and the fact that the majority of the students in the BBCC flight program finish AVF 252 in the spring quarter, the dash boards will not likely reflect accurate completion rates for three to six months out from the writing of this report.</w:t>
      </w:r>
    </w:p>
    <w:p w14:paraId="67C1C81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Looking at the overall trend for Historically Underrepresented Groups, we see on the dashboards 100% success rate in the 2021-2022 cohort, 89% in the 2022-2023 cohort and 86% in the 2023-2024 cohort. Respectively, the 2022-2023 and 2023-2024 cohorts only had one student each from the HUG student group unsuccessfully complete the class. This compares to the non-HUG student group success rate of 68% in the 2021-2022 cohort, 96% in the 2022-2023 cohort and 92% in the 2023-2024 cohort. Preliminary data from within the aviation program indicate that 100% of the 2024–2025-year cohort have passed AVF 252 successfully. (Course success dashboards do show 1 failure that cannot be accounted for in our data.) This would indicate that all of our HUG students in the 2024-2025 cohort have been successful.</w:t>
      </w:r>
    </w:p>
    <w:p w14:paraId="1026F0C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information above can be confirmed with a 100% pass rate on the stage five flight check for AVF 252 in the 2024-2025 cohort of students with no deficiencies noted in PO 5 (“students will be able to demonstrate the technical aspects of aircraft control”). </w:t>
      </w:r>
    </w:p>
    <w:p w14:paraId="40EFDFE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Due to the nature of the comprehensive stage check and course completion being competency based, an additional assessment tool is reviewing the average days it takes a cohort of students to complete AVF 252. This year the 2024-2025 cohort of students averaged 107 days in AVF 252. This represents a 30% reduction in time to complete stage 5 from the high of 153 days for the 2022-2023 cohort. To further close the loop on assessment the 2021-2022 cohort averaged 134 days and the 2015-2016 cohort average 113 days. </w:t>
      </w:r>
    </w:p>
    <w:p w14:paraId="4D6C8F8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AVF 253</w:t>
      </w:r>
    </w:p>
    <w:p w14:paraId="58CC2C1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Once again, the use of data from the dashboards for course success rate for AVF 253 is not possible for the 2024-2025 cohort. The current material reflected in the data dashboards for the 2024-2025 cohort of students is reflective of the students who completed their training in the summer of 2024 or were terminated from the </w:t>
      </w:r>
      <w:r w:rsidRPr="001F4245">
        <w:rPr>
          <w:rFonts w:cstheme="minorHAnsi"/>
          <w:noProof/>
        </w:rPr>
        <w:lastRenderedPageBreak/>
        <w:t>program in the summer of 2024. This data is not inclusive of the students who have currently completed their training as part of the 2024–2025 school year cohort.</w:t>
      </w:r>
    </w:p>
    <w:p w14:paraId="2BC4C26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Looking at the overall trend for Historically Underrepresented Groups we see on the dashboards 83% success rate in the 2021-2022 cohort, 100% in the 2022-2023 cohort, 44% in the 2023-2024 cohort. This compares to the non-HUG student group success rate of 90% in the 2021-2022 cohort, 91% in the 2022-2023 cohort and 67% in the 2023-2024 cohort.</w:t>
      </w:r>
    </w:p>
    <w:p w14:paraId="3662C4E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Preliminary program data from the 2024-2025 cohort indicate only seven students have completed AVF 253. The comprehensive stage 7 flight check yielded an 86% pass rate, with one failure related to stabilized approaches and landings that relates to PO 5 (“students will be able to demonstrate the technical aspects of aircraft control”).</w:t>
      </w:r>
    </w:p>
    <w:p w14:paraId="65D2AF49" w14:textId="720BEC4D" w:rsidR="00775F5E" w:rsidRPr="00775F5E" w:rsidRDefault="00775F5E" w:rsidP="00775F5E">
      <w:pPr>
        <w:pStyle w:val="paragraph"/>
        <w:spacing w:before="0" w:beforeAutospacing="0" w:after="0" w:afterAutospacing="0"/>
        <w:textAlignment w:val="baseline"/>
        <w:rPr>
          <w:rFonts w:cstheme="minorHAnsi"/>
          <w:noProof/>
        </w:rPr>
      </w:pPr>
      <w:r w:rsidRPr="001F4245">
        <w:rPr>
          <w:rFonts w:cstheme="minorHAnsi"/>
          <w:noProof/>
        </w:rPr>
        <w:t>Due to the nature of the comprehensive stage check and course completion being competency based an additional assessment tool is reviewing the average days it takes a cohort of students to complete AVF 253. This year the 2024-2025 cohort of students averaged 32 days in AVF 253. This represents nearly a 70% reduction in time to complete stage 7 from the high of 105 days for the 2022-2023 cohort. To further close the loop on assessment the 2021-2022 cohort averaged 92.7 days and the 2015-2016 cohort average 77 days.</w:t>
      </w:r>
    </w:p>
    <w:p w14:paraId="5E9B8059"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1. AVF 252 is largely showing significant improvements in time to completion. In addition, there appears to be a solid course success rate both in the HUG student groups and non-HUG student groups. The overall trend in AVF 252 indicates we at this time should move our assessment focus to other areas of the program.</w:t>
      </w:r>
    </w:p>
    <w:p w14:paraId="0E97C7B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2. AVF 253 is showing positive trends with times to completion rates but the data on the course success dashboards as well as program data is largely incomplete for the 2024-2025 cohort, as most students in the current cohort will not complete AVF 253 until this summer quarter. </w:t>
      </w:r>
    </w:p>
    <w:p w14:paraId="6FD4F10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Looking back at the 2022-2023 assessment work, it appears the sole area of weakness still remains landings and the associated un-stabilized approaches. While this has not been a challenge for the vast majority of our students, this piece of assessment data has been written up on three assessment reports related to this stage of training. As of the writing of this report, our new Director of Operations is actively engaging the senior instructional team and Chief Instructor with updated guidance for our training course outline. At this time, we expect a revision of the TCO to be published by the fall of 2025 that will help address this area of concern.</w:t>
      </w:r>
    </w:p>
    <w:p w14:paraId="70A46C33" w14:textId="4E752F52" w:rsidR="00775F5E" w:rsidRPr="00775F5E" w:rsidRDefault="00775F5E" w:rsidP="00775F5E">
      <w:pPr>
        <w:pStyle w:val="paragraph"/>
        <w:spacing w:before="0" w:beforeAutospacing="0" w:after="0" w:afterAutospacing="0"/>
        <w:textAlignment w:val="baseline"/>
        <w:rPr>
          <w:rFonts w:cstheme="minorHAnsi"/>
          <w:noProof/>
        </w:rPr>
      </w:pPr>
      <w:r w:rsidRPr="001F4245">
        <w:rPr>
          <w:rFonts w:cstheme="minorHAnsi"/>
          <w:noProof/>
        </w:rPr>
        <w:t>With regards to the HUG group performance in stage 7 training, it appears their success mirrors the non-HUG group students. The number of students in the HUG group has been increasing in our student enrollment but still lags the rest of the college.</w:t>
      </w:r>
    </w:p>
    <w:p w14:paraId="0A9C018D"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1DF432F9"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3C544F8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Ryan Duvall</w:t>
      </w:r>
    </w:p>
    <w:p w14:paraId="097AC19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45605F8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5</w:t>
      </w:r>
    </w:p>
    <w:p w14:paraId="1D3E341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BIM 180A, B, C, PO5: Students will develop proficient Microsoft Office techniques by creating professional business documents. Course Outcomes: Outcome BIM 180A 1: Design, create, format, and edit basic Word documents. 2: Design, create, format, and edit basic Excel spreadsheets and charts. BIM 180B 1: Design, create, format, and edit basic PowerPoint presentations. 2: Design, create, format, and edit basic Access databases. BIM 180C 1: Design, create, format, and edit integrated projects encompassing basic features of Microsoft Office.</w:t>
      </w:r>
    </w:p>
    <w:p w14:paraId="7661DD2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I was not able to identify any equity gaps while I know there are some equity gaps, I was looking at the overall success of my students through this assessment.</w:t>
      </w:r>
    </w:p>
    <w:p w14:paraId="236D155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2AD8F9E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This year, I have removed the variable credit from my classes. This change is allowing me to structure my classes with a week by week schedule. Also, students’ grades can now be calculated based upon homework and test. Assignments will be worth 40 percent of their grade and test will be worth 60 percent of their grade. The changes from self-paced to a weekly schedule will allow students to not have to make their own schedule and follow a weekly schedule. I believe this will help students be more successful in their class. In the past, I always had students fall behind in their class and then not earn all credits of their class. With this new schedule and design, I believe it will help improve the success for my students in different areas related to possible equity gaps. I will use students’ submissions of their test for Word, Excel, PowerPoint, Access, and Integration. I will also look at the overall success and passing grades in the class. I think students will do better on their test knowing that homework counts for part of their grade. In the past, students used to skip assignments and just test and would take their test underprepared which resulted in lower success for students overall. I think having a grade attached to homework will great more buy in and produce better prepared students for their test in these three classes.</w:t>
      </w:r>
      <w:r w:rsidRPr="00DE5B7E">
        <w:rPr>
          <w:rFonts w:asciiTheme="minorHAnsi" w:hAnsiTheme="minorHAnsi" w:cstheme="minorHAnsi"/>
          <w:sz w:val="22"/>
          <w:szCs w:val="22"/>
        </w:rPr>
        <w:t xml:space="preserve"> </w:t>
      </w:r>
    </w:p>
    <w:p w14:paraId="60F9104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4DF348F1"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 xml:space="preserve">By moving away from the variable credit and moving to standard classes it required students to work on there classes from week one of the quarter and not get behind resulting in an unsuccessful student. Students also learned better being required to complete weekly assignments that prepared them for the test and grades on those tests were higher with less retakes. Adding the structure to these classes gave students the structure needed to be more successful. </w:t>
      </w:r>
    </w:p>
    <w:p w14:paraId="09421FC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Looking at students who were enrolled in BIM 180 in Fall 2023, Winter 2024, and Spring 2025, we had a total of 56 students enrolled. During this time, this class was variable credit and so student could have been enrolled in credits 1-5. The problem of this class design was that students could be working at different levels and with the variable credit, it was self-paced. Of these 56 students, only 40 students earned the credits they were enrolled in. This is a 71.43% success rate. Looking at the student Enrollment in BIM 180A, B, C from fall, Winter, and Spring this year, we see that we had a total of 118 students enrolled over three quarter. These three classes together equal a 5-credit class. Of those enrolled students, 108 students finished and pass their class. This resulted in a 91.53% success rate in the class. It shows me that the changes that I made this year has helped to improve the success of our students keeping them on track in their class learning and gaining the knowledge to be successful and gain and develop proficient Microsoft Office Techniques. </w:t>
      </w:r>
    </w:p>
    <w:p w14:paraId="48C9705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72E817D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While we can see a 20% improvement between last year and this year, I want to keep moving forward with these changes. There is more that can be done to help improve student success. I think this now gives us a new baseline and we can better determine the equity gaps that may exist. In the variable credit model, it was hard to address those issues due to the nature of the classes. We now have a more accurate baseline to measure against.</w:t>
      </w:r>
    </w:p>
    <w:p w14:paraId="22DDB03B"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2DBE9044"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02B1497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Theresa Calip</w:t>
      </w:r>
    </w:p>
    <w:p w14:paraId="665BF5A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70EBF3F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5</w:t>
      </w:r>
    </w:p>
    <w:p w14:paraId="26FA411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BIOL&amp; 242 Anatomy &amp; Physiology II  5.</w:t>
      </w:r>
      <w:r w:rsidRPr="001F4245">
        <w:rPr>
          <w:rFonts w:cstheme="minorHAnsi"/>
          <w:noProof/>
        </w:rPr>
        <w:tab/>
        <w:t>Course Outcome 2:  Demonstrate an understanding of the physiology of the endocrine, cardiovascular, lymphatic, respiratory, digestive, urinary, and reproductive systems including both the chemical and neurological control mechanisms for each, drawing heavily from principles learned in Bio 241.</w:t>
      </w:r>
    </w:p>
    <w:p w14:paraId="699FCF6B"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Although familiar with the concept of homeostasis from earlier Biology courses (including BIOL&amp; 241), students still have difficulty when applying the concept to complex physiological systems, which is the focus of BIOL&amp; 242. There was no identifiable equity gap found with this problem; it presents equally across all variables (race, gender, etc.).</w:t>
      </w:r>
    </w:p>
    <w:p w14:paraId="32E5215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This is a re-iteration of last year’s assessment, where I incorporated the technique of pattern recognition when learning and constructing feedback loops introduced in BIOL&amp; 241 (Core Concepts in physiology: teaching homeostasis through pattern recognition. Chirillo, M, et al.,Adv. Physiol Educ 45: 812-828.2021),</w:t>
      </w:r>
    </w:p>
    <w:p w14:paraId="1B3C44B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The  results of that exercise were mixed. While there was positive feedback from the students as to the clarity and usefulness of the tool, the test results (particularly the difference between the two sections) did not bear that out. This year, I would like to close this assessment loop, with regards to the effectiveness of this tool, by taking a different approach.</w:t>
      </w:r>
    </w:p>
    <w:p w14:paraId="722613D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This year, assessment will focus on the endocrine/homeostatic loops of the reproductive system, rather than the digestive system. The rationale for this change is the following: the reproductive system is traditionally the last unit in the term, but ties strongly to the first unit, endocrinology. Because of time constraints, student understanding of ties between reproductive physiology and endocrine loops is compromised. </w:t>
      </w:r>
    </w:p>
    <w:p w14:paraId="39D3679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For the winter and spring sections of BIOL&amp;242, I will be moving the unit on reproduction to follow the endocrine system.</w:t>
      </w:r>
    </w:p>
    <w:p w14:paraId="7E39A88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p>
    <w:p w14:paraId="050418D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093AC901"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As with the previous assessment, students will be assessed on their ability to generate (draw) and explain the pathway of pituitary and gonadal hormones of the male and female, and their roles in sexual maturation and function of the gonads (testes and ovaries).  There will be numerous supportive exercises and quizzes to assist student retention prior to exams.</w:t>
      </w:r>
    </w:p>
    <w:p w14:paraId="2F3DE25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Student learning will be assessed with the first exam (lab and lecture), and the final exam (lab and lecture). Lecture exams are comprised of objective multiple-choice/matching or short answer questions. Lab exams involve labeling, drawing, or short-answer explanations of organs, systems or processes.</w:t>
      </w:r>
    </w:p>
    <w:p w14:paraId="7421C9B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4F43AF8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72B24754"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This assessment aimed to strengthen student comprehension of homeostasis within complex physiological systems by restructuring unit sequencing in BIOL&amp; 242. The reproductive system was moved to follow endocrinology, with an emphasis on hormone feedback loops as the foundation for understanding male and female physiology.</w:t>
      </w:r>
    </w:p>
    <w:p w14:paraId="3C67479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Students engaged in in-class drawings to visually map these feedback loops, reinforcing connections between hormonal pathways and reproductive anatomy. While quizzes and supportive exercises remained unchanged, integrating endocrinology directly with reproduction created a more cohesive approach to concept retention.</w:t>
      </w:r>
    </w:p>
    <w:p w14:paraId="61316EC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A key adjustment in this year’s assessment was tracking exam scores for the endocrinology and reproductive system units, rather than focusing on the final exam. The results were as follows:</w:t>
      </w:r>
    </w:p>
    <w:p w14:paraId="4074823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Winter 2025 Scores:</w:t>
      </w:r>
    </w:p>
    <w:p w14:paraId="50B5613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Lecture Exam: 78% (Winter 24: 71%)</w:t>
      </w:r>
    </w:p>
    <w:p w14:paraId="595F228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Lab Exam: 78% (Winter 24: 75%)</w:t>
      </w:r>
    </w:p>
    <w:p w14:paraId="31BD04B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 Spring 2025 Scores: </w:t>
      </w:r>
    </w:p>
    <w:p w14:paraId="3B6BA31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Lecture Exam: 79% (Spring 24: 70%)</w:t>
      </w:r>
    </w:p>
    <w:p w14:paraId="2B5DBBA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Lab Exam: 86% (Spring 24: 73%)</w:t>
      </w:r>
    </w:p>
    <w:p w14:paraId="45F48B8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lastRenderedPageBreak/>
        <w:t>Additionally, all endocrine-based questions from the Comprehensive Final Lab Exam were reviewed, as they were identical to those used in the previous year’s assessment. Encouragingly, the overall percentage of correct responses for both Winter and Spring quarters was 80%, demonstrating consistent retention of endocrine concepts. Interestingly, the lowest correct response rates were observed in questions covering the earliest material from Unit 1, suggesting that students may benefit from additional reinforcement at the beginning of the term.</w:t>
      </w:r>
    </w:p>
    <w:p w14:paraId="519A553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These findings indicate that the color-coded protocol for reinforcing homeostasis, combined with restructuring unit order, shows promise in improving student comprehension. While challenges remain in applying homeostasis across multi-system processes, this approach appears to support stronger retention and understanding. On the day that I return student exams, and after we go over the correct answers, I always have them submit in-class a d informal wrap-up of the exam. I have them include a) what they would have done differently to prepare for the exam and b) what do they think helped them with the unit.  After Exam II (reproduction) I received ten responses (which included both classes) that mentioned transitioning from the Endocrine unit to the Reproductive “made sense” and helped them understand the importance of homeostasis.</w:t>
      </w:r>
    </w:p>
    <w:p w14:paraId="66D8B13A" w14:textId="44D5529D" w:rsidR="00775F5E" w:rsidRPr="00775F5E" w:rsidRDefault="00775F5E" w:rsidP="00775F5E">
      <w:pPr>
        <w:pStyle w:val="paragraph"/>
        <w:spacing w:before="0" w:beforeAutospacing="0" w:after="0" w:afterAutospacing="0"/>
        <w:textAlignment w:val="baseline"/>
        <w:rPr>
          <w:rFonts w:cstheme="minorHAnsi"/>
          <w:noProof/>
        </w:rPr>
      </w:pPr>
      <w:r w:rsidRPr="001F4245">
        <w:rPr>
          <w:rFonts w:cstheme="minorHAnsi"/>
          <w:noProof/>
        </w:rPr>
        <w:t>Future refinements may include targeted reinforcement of early endocrinology concepts, expanded review activities earlier in the term, and incorporating case-based learning to further solidify student grasp of physiological interactions. Overall, this assessment provides valuable insight into optimizing curriculum sequencing for more effective learning outcomes.</w:t>
      </w:r>
    </w:p>
    <w:p w14:paraId="2213FA2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Overall, this assessment was of value to me and to student outcomes. I will retain this change in format and continue utilizing and refining the color-coded methodology for teaching.</w:t>
      </w:r>
    </w:p>
    <w:p w14:paraId="6D928127"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2871AA95"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2BA9E1E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Mariah Whitney</w:t>
      </w:r>
    </w:p>
    <w:p w14:paraId="2F4B671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7ABE4B2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7155C55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Biol&amp;160 ; General Biology with Lab - Change impacts entire course not just specific LOs</w:t>
      </w:r>
    </w:p>
    <w:p w14:paraId="027FD6C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Low course success rates: All students in the class often struggle with developing study skills and ability to quiz themselves on content, these are often 1st gen or non-trad students.</w:t>
      </w:r>
    </w:p>
    <w:p w14:paraId="7D601B4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6B02BA4C"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I used AI (ChatGPT) to help students develop more successful study skills. Specifically using it to help in making effective flashcards and quizzing them on Learning Objectives. When doing it in class, we additionally looked at the accuracy of the answers it gives and what it leaves out. </w:t>
      </w:r>
    </w:p>
    <w:p w14:paraId="62B1E82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I will look at student success in the course as well as a student feedback survey at the end of the quarter.</w:t>
      </w:r>
      <w:r w:rsidRPr="00DE5B7E">
        <w:rPr>
          <w:rFonts w:asciiTheme="minorHAnsi" w:hAnsiTheme="minorHAnsi" w:cstheme="minorHAnsi"/>
          <w:sz w:val="22"/>
          <w:szCs w:val="22"/>
        </w:rPr>
        <w:t xml:space="preserve"> </w:t>
      </w:r>
    </w:p>
    <w:p w14:paraId="5E24D5D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462CB4F5"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In the Fall quarter, AI use was limited due to access issues—ChatGPT required sign-ins, which discouraged many students. In Winter, I integrated it more intentionally, especially for quizzing, and collected end-of-quarter feedback. In Spring, I continued this approach and also shared the Winter survey results with students at midterms.</w:t>
      </w:r>
    </w:p>
    <w:p w14:paraId="3C26EDA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Winter Survey results shared with Spring Class:  </w:t>
      </w:r>
    </w:p>
    <w:p w14:paraId="3C77E08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 AI as a Study Buddy?</w:t>
      </w:r>
    </w:p>
    <w:p w14:paraId="5DEE8CF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Out of the 15 students that filled out the survey, 13 used AI to help them and all 13 stated it helped them to be more successful. The 2 students that did NOT use AI stated they already had strong study skills (they earned the highest GPA as well &gt;3.5). </w:t>
      </w:r>
    </w:p>
    <w:p w14:paraId="23A2B05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students reported using ChatGPT, Gemini, Siri, Quizlet and Gizmo. </w:t>
      </w:r>
    </w:p>
    <w:p w14:paraId="3354579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top uses were: </w:t>
      </w:r>
    </w:p>
    <w:p w14:paraId="45B229F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Making quiz questions based on LOs</w:t>
      </w:r>
    </w:p>
    <w:p w14:paraId="5F00628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Making flashcards (breaking them down to be on multiple cards was most popular)</w:t>
      </w:r>
    </w:p>
    <w:p w14:paraId="2CD0128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 xml:space="preserve">Explaining hard concepts </w:t>
      </w:r>
    </w:p>
    <w:p w14:paraId="4562D3A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Analogies</w:t>
      </w:r>
    </w:p>
    <w:p w14:paraId="7B5F748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Answer my questions</w:t>
      </w:r>
    </w:p>
    <w:p w14:paraId="18055ED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Two Student Quotes:</w:t>
      </w:r>
    </w:p>
    <w:p w14:paraId="2114403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From a first-time student: </w:t>
      </w:r>
    </w:p>
    <w:p w14:paraId="20EF425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“Yes, I do think it helped because it was like having a professor available for me all day. I could ask any questions at any time and get a detailed response based on the book. It also helped me finish my flashcards faster. I normally use flashcards to study for any exam, and having ChatGPT was very useful because it would separate a learning outcome into three flashcards with a question and response, which normally takes me a long time to do, and with AI, this process was faster. When studying for upcoming exams, it was also very helpful because I would quiz myself on specific learning outcomes, I did not feel confident about, which I think is a very useful tool not only for me but for every other student who takes this course.”</w:t>
      </w:r>
    </w:p>
    <w:p w14:paraId="15D1A3D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From a student repeating this course: </w:t>
      </w:r>
    </w:p>
    <w:p w14:paraId="2687D9A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used them to help ease my anxiety with testing. I believe they significantly contributed to my improvement. I observed a 15–20-point increase on my first two exams, especially compared to last quarter when I performed poorly. Additionally, my third exam showed a 10-point increase. It's worth noting that I had started using both platforms around this time last quarter.”</w:t>
      </w:r>
    </w:p>
    <w:p w14:paraId="44B4E3D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Spring Quarter summary: </w:t>
      </w:r>
    </w:p>
    <w:p w14:paraId="6A9637C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Total responses: 18</w:t>
      </w:r>
    </w:p>
    <w:p w14:paraId="1FE5AFD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Students who used AI: 16</w:t>
      </w:r>
    </w:p>
    <w:p w14:paraId="4998BFC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Most commonly used AI platforms: ChatGPT</w:t>
      </w:r>
    </w:p>
    <w:p w14:paraId="0402E16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How students used AI:</w:t>
      </w:r>
    </w:p>
    <w:p w14:paraId="7D8D322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Creating and taking practice quizzes</w:t>
      </w:r>
    </w:p>
    <w:p w14:paraId="2CC931C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Summarizing chapters and learning objectives</w:t>
      </w:r>
    </w:p>
    <w:p w14:paraId="3D87304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lastRenderedPageBreak/>
        <w:t>•</w:t>
      </w:r>
      <w:r w:rsidRPr="001F4245">
        <w:rPr>
          <w:rFonts w:cstheme="minorHAnsi"/>
          <w:noProof/>
        </w:rPr>
        <w:tab/>
        <w:t>Clarifying difficult concepts</w:t>
      </w:r>
    </w:p>
    <w:p w14:paraId="0654DCB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Rewording questions for better understanding</w:t>
      </w:r>
    </w:p>
    <w:p w14:paraId="00A4B4D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Acting as a “study buddy” when instructors weren’t available</w:t>
      </w:r>
    </w:p>
    <w:p w14:paraId="49BAA42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Did students find AI helpful? All 16 mentioned it helped from a little to a lot. </w:t>
      </w:r>
    </w:p>
    <w:p w14:paraId="183926C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Representative Student Quotes</w:t>
      </w:r>
    </w:p>
    <w:p w14:paraId="639213E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feel like the use of AI has helped. Each exam score has increased (I started using after exam #1). It might not have been a SIGNIFICANT amount, but it was a little with each exam.”</w:t>
      </w:r>
    </w:p>
    <w:p w14:paraId="7611B2A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believe it did help me as when I used it I scored better on exams , it helped me summarize LOs in a simpler more understanding way”</w:t>
      </w:r>
    </w:p>
    <w:p w14:paraId="1FFF533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Fall Success (as a 2.0 or higher since this is what is needed to get into A&amp;P): 45%</w:t>
      </w:r>
    </w:p>
    <w:p w14:paraId="21280E6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Winter Success: 55%</w:t>
      </w:r>
    </w:p>
    <w:p w14:paraId="18BDE38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Spring Success: 60.9%</w:t>
      </w:r>
    </w:p>
    <w:p w14:paraId="398E22B7" w14:textId="718DE43E" w:rsidR="00775F5E" w:rsidRPr="00775F5E"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Note: Other things may have impacted the success rates in this course. In Spring, I began giving handouts to support our in class day instead of relying on students to take notes from what I did on the board (increased student participation and less students just took a picture of my work). Additionally, there have been changes in the Chem&amp;121 faculty over the last 2 years and that feeds into this course as a pre/co-requisite. </w:t>
      </w:r>
    </w:p>
    <w:p w14:paraId="1CD69DC6"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w:t>
      </w:r>
      <w:r w:rsidRPr="001F4245">
        <w:rPr>
          <w:rFonts w:cstheme="minorHAnsi"/>
          <w:noProof/>
        </w:rPr>
        <w:tab/>
        <w:t xml:space="preserve">Based on the results of the assessment, I am going to continue doing this activity. While I also still emphasize active recall techniques using their notes, this seems to have been received well by the students. Some students who did not utilize quizzing methods for study have now incorporated it into their study practices.  </w:t>
      </w:r>
    </w:p>
    <w:p w14:paraId="706F7FD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w:t>
      </w:r>
      <w:r w:rsidRPr="001F4245">
        <w:rPr>
          <w:rFonts w:cstheme="minorHAnsi"/>
          <w:noProof/>
        </w:rPr>
        <w:tab/>
        <w:t>I hope that the college continues to support professional development opportunities for using AI so that I can continue to learn how it can help me and the students.</w:t>
      </w:r>
    </w:p>
    <w:p w14:paraId="2042EDC7"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42A8B4DF"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5D2FB71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Christy Welch</w:t>
      </w:r>
    </w:p>
    <w:p w14:paraId="0A8FAC4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Human Relations / Workplace Skills</w:t>
      </w:r>
    </w:p>
    <w:p w14:paraId="44D1A94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3A575E6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BIOL&amp;221, 222 and 223 - Majors Biology</w:t>
      </w:r>
    </w:p>
    <w:p w14:paraId="44CCB6C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In viewing/analyzing the Course Success Dashboard for this Biology series, a gap in achievement was noted between males and females (but no difference between different ethnic/cultural groups). I will be gathering anecdotal evidence throughout this year in order to devise a more quantitative assessment of this discrepancy during the following school year. The unrelated problem that I am attempting to resolve in this year’s assessment is in cultivating the workplace specific skill of each student completing their own thorough and complete lab clean up. This included correctly putting all lab equipment away, doing dishes, sanitizing their lab station and restoring the lab to the condition it was when they first entered the lab room that day. In the past, this has not been accomplished in a sufficient, consistent manner.</w:t>
      </w:r>
    </w:p>
    <w:p w14:paraId="7C8D070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495442E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After each lab, I walked around each of the lab stations and filled out a 3 x 5 card with each of the student's name, date, and grade (0-5 points) for microscope storage. In addition, I would not let students leave the lab until I had checked and cleared their station for departure.</w:t>
      </w:r>
      <w:r w:rsidRPr="00DE5B7E">
        <w:rPr>
          <w:rFonts w:asciiTheme="minorHAnsi" w:hAnsiTheme="minorHAnsi" w:cstheme="minorHAnsi"/>
          <w:sz w:val="22"/>
          <w:szCs w:val="22"/>
        </w:rPr>
        <w:t xml:space="preserve"> </w:t>
      </w:r>
    </w:p>
    <w:p w14:paraId="4096A4C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6E3B52F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I found that assigning points for microscope storage and penalizing students for not doing it correctly was the only way to sufficiently ensure consistent proper storage of each microscope. This method holds each student accountable for the correct storage of their microscope. In the past, I have verbally and repeatedly reminded students what to do, but this was not an effective strategy. Also in the past I have also made a large, illustrative poster for the laboratory showing the proper steps for the correct storage of the microscope, but this was not effective, either. Students either did not listen or remember to look at the poster, or care about proper microscope storage until I assigned a 5 point deduction to their lab for not doing so. I assigned 1 point for each of the correct steps required for proper storage. This was an effective strategy and resulted in 98% compliance with proper microscope storage consistently throughout the entire year. I also found that not allowing students to leave until I had checked their stations worked well (over 90% compliance).</w:t>
      </w:r>
      <w:r w:rsidRPr="00DE5B7E">
        <w:rPr>
          <w:rFonts w:asciiTheme="minorHAnsi" w:hAnsiTheme="minorHAnsi" w:cstheme="minorHAnsi"/>
          <w:sz w:val="22"/>
          <w:szCs w:val="22"/>
        </w:rPr>
        <w:t xml:space="preserve"> </w:t>
      </w:r>
    </w:p>
    <w:p w14:paraId="74EB635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I would like to recommend this strategy to the entire Biology Department and also to the Upward Bound program that is using the microscopes as well this year. The microscopes are expensive (over $1200 each) and need to be properly handled in order to maintain long-term availability. The careless handling of these high-quality microscopes will result in fiscal irresponsibility for the college, if this is not addressed. I plan to bring this up at our next department meeting, as well as discuss this with our lab coordinator so we can consistently implement this strategy with all programs that use our lab space.</w:t>
      </w:r>
    </w:p>
    <w:p w14:paraId="213019DD"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4D5D0781"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04F5C00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Guillermo Garza</w:t>
      </w:r>
    </w:p>
    <w:p w14:paraId="62D3753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Human Relations / Workplace Skills</w:t>
      </w:r>
    </w:p>
    <w:p w14:paraId="6543FE0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4</w:t>
      </w:r>
    </w:p>
    <w:p w14:paraId="7C74CD2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CDL100</w:t>
      </w:r>
    </w:p>
    <w:p w14:paraId="27EF01A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Students are given a Pre-Trip Inspection manual to read, study and practice on how to perform a Pre-Trip Inspection. During the third week of the CDL course, students will be evaluated on a Pre-Trip Inspection.</w:t>
      </w:r>
    </w:p>
    <w:p w14:paraId="171F04D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1C0A57A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I have each student walk me through a full Pre-Trip Inspection as I am evaluating their progress and ability to perform a Pre-Trip Inspection from beginning to end, using a Pre-Trip Inspection check-off score sheet.</w:t>
      </w:r>
      <w:r w:rsidRPr="00DE5B7E">
        <w:rPr>
          <w:rFonts w:asciiTheme="minorHAnsi" w:hAnsiTheme="minorHAnsi" w:cstheme="minorHAnsi"/>
          <w:sz w:val="22"/>
          <w:szCs w:val="22"/>
        </w:rPr>
        <w:t xml:space="preserve"> </w:t>
      </w:r>
    </w:p>
    <w:p w14:paraId="53D21C9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3EA025D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Around 80% of the students had successfully and adequately preformed a Pre-Trip Inspection.</w:t>
      </w:r>
      <w:r w:rsidRPr="00DE5B7E">
        <w:rPr>
          <w:rFonts w:asciiTheme="minorHAnsi" w:hAnsiTheme="minorHAnsi" w:cstheme="minorHAnsi"/>
          <w:sz w:val="22"/>
          <w:szCs w:val="22"/>
        </w:rPr>
        <w:t xml:space="preserve"> </w:t>
      </w:r>
    </w:p>
    <w:p w14:paraId="20D8D0D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If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With just 80% of the students successfully and adequately preforming a Pre-Trip Inspection, I will continue to evaluate and assess the students' performance in order to monitor what changes will need to be addressed in order to bring this number up.</w:t>
      </w:r>
    </w:p>
    <w:p w14:paraId="4E4651E6"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7AC0B6D3"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4E32A76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Kaja Devine</w:t>
      </w:r>
    </w:p>
    <w:p w14:paraId="084DD44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2CD616F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4</w:t>
      </w:r>
    </w:p>
    <w:p w14:paraId="2C3BD3C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CJ 217 33004 Advanced Report Writing - 1. Students will show mastery of complicated technical reports related to criminal justice by using the appropriate forms and formats. 2. Students will complete a variety of exercises related to the writing of technical writing forms and reports. 3. Students will demonstrate report organization. 4. Students will become aware of automated field reporting and how it relates to their job and connects to the overall CJ system.</w:t>
      </w:r>
    </w:p>
    <w:p w14:paraId="0E384F2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The problem/concern I have been attempting to resolve through this assessment is students success in improving on their communication skills through writing. Particularly, writing related to working in law enforcement. The equity gap I am seeking to address is success rates of low income/single parent/working students.</w:t>
      </w:r>
    </w:p>
    <w:p w14:paraId="2141B7E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7138005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During week 1 of the quarter I had students complete a pre-assessment on communication, grammar skills, spelling, ELA skills, all very specifically addressing law enforcement related statements and jargon. At the end of the quarter during week 10, I then had students complete a post-assessment. The pre and post assessment were both the exact same (I made sure the pre-assessment was closed so students were not referring to the correct answers from that as they completed the post-assessment). The goal here was to be able to see how students improved on these writing and communication skills from the beginning of the quarter to the end.</w:t>
      </w:r>
      <w:r w:rsidRPr="00DE5B7E">
        <w:rPr>
          <w:rFonts w:asciiTheme="minorHAnsi" w:hAnsiTheme="minorHAnsi" w:cstheme="minorHAnsi"/>
          <w:sz w:val="22"/>
          <w:szCs w:val="22"/>
        </w:rPr>
        <w:t xml:space="preserve"> </w:t>
      </w:r>
    </w:p>
    <w:p w14:paraId="0C72D08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2BB644FA"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 xml:space="preserve">Overall, the results were significant. Of the 10 students enrolled in this course (low number because all CJ majors), two students scores stayed the same, there was one student who did not complete the post test, and the remaining students scores increased. These results suggest that over the course of spring quarter, students were able to learn or relearn specific communication skills, grammar skills, spelling, ELA skills, etc. which were all very specifically addressing law enforcement related statements and jargon that played into their pre and post assessment scores. </w:t>
      </w:r>
    </w:p>
    <w:p w14:paraId="0A80E95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In terms of the equity gap(s) I had in mind - I preferred that students complete the pre and post assessments in class, however, I understand that it can be a struggle to get to class given various circumstances. So, I allowed students to still complete the pre and post assessment online. With all of this in mind, all of the students who completed the pre and post assessments with scores either staying the same or improving, are passing CJ 217 with a 75% or higher (1 student in the 70% range, 1 student in the 80% range, and 6 students in the 90% range). </w:t>
      </w:r>
    </w:p>
    <w:p w14:paraId="0E83684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I do understand there are other various factors affecting students overall grades, but nonetheless I am satisfied with the pre and post assessment scores.</w:t>
      </w:r>
      <w:r w:rsidRPr="00DE5B7E">
        <w:rPr>
          <w:rFonts w:asciiTheme="minorHAnsi" w:hAnsiTheme="minorHAnsi" w:cstheme="minorHAnsi"/>
          <w:sz w:val="22"/>
          <w:szCs w:val="22"/>
        </w:rPr>
        <w:t xml:space="preserve"> </w:t>
      </w:r>
    </w:p>
    <w:p w14:paraId="6244007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This is the first time I have ever assigned a pre and post assessment and I am a huge fan of it. I feel as though the data is really telling and I would like to continue to implement them into my other courses for assessment purposes as well as overall CJ program purposes. This will be a reliable way of following students learning in my courses so I can make adjustments as needed throughout my courses.</w:t>
      </w:r>
    </w:p>
    <w:p w14:paraId="1FF7E791"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047B6C30"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0DF21DF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Mitchell Poth</w:t>
      </w:r>
    </w:p>
    <w:p w14:paraId="1C7567B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5F1904D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5DDC784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CMST&amp;220 [Demonstrate the ability to manage stage fright]</w:t>
      </w:r>
    </w:p>
    <w:p w14:paraId="6DFE845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This assessment seeks to address differences in Public Speaking Anxiety (PSA) among students across age groups, with particular attention to younger students (e.g., Running Start students aged 16–18) versus traditional college-aged students (18–24+). The concern is that younger students may enter the course with heightened anxiety and fewer strategies for managing it.</w:t>
      </w:r>
    </w:p>
    <w:p w14:paraId="5828144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149F1927"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To assess PSA and track changes across the term, the following tools were used:</w:t>
      </w:r>
    </w:p>
    <w:p w14:paraId="36949E7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A custom pre-/post-survey measuring student anxiety across 10 Likert-scale items related to public speaking comfort, performance anxiety, and self-perceived ability.</w:t>
      </w:r>
    </w:p>
    <w:p w14:paraId="7E904F5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An age group identifier was included to allow disaggregation by demographic.</w:t>
      </w:r>
    </w:p>
    <w:p w14:paraId="0141809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Students were given a lecture early in the course on managing PSA, paired with multiple speaking assignments to apply those techniques.</w:t>
      </w:r>
    </w:p>
    <w:p w14:paraId="48EF30F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Informal classroom observations were used to assess changes in student behavior and confidence throughout the term.</w:t>
      </w:r>
    </w:p>
    <w:p w14:paraId="1B3572B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6C7E50E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44F3D018"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Key Findings:</w:t>
      </w:r>
    </w:p>
    <w:p w14:paraId="5882F88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Response of PSA rates remained consistently low.</w:t>
      </w:r>
    </w:p>
    <w:p w14:paraId="3384CAF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Items measuring high-stress speaking situations (e.g., debates, large audiences) continued to yield high anxiety responses post-instruction.</w:t>
      </w:r>
    </w:p>
    <w:p w14:paraId="086AB4C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Discrimination indices were strong for many items, indicating the questions effectively distinguished between more and less confident students—but not that anxiety levels improved.</w:t>
      </w:r>
    </w:p>
    <w:p w14:paraId="00A7053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Likert scale confusion may have affected results; some students may have misinterpreted the scale direction, skewing answers.</w:t>
      </w:r>
    </w:p>
    <w:p w14:paraId="2280330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Equity Analysis by Age Group:</w:t>
      </w:r>
    </w:p>
    <w:p w14:paraId="2B3151E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Students in the Running Start age group (16–18) did not show substantially different patterns compared to older peers.</w:t>
      </w:r>
    </w:p>
    <w:p w14:paraId="1E20EF0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No clear evidence suggests age was a determining factor in the effectiveness of the course’s anxiety-reduction strategies.</w:t>
      </w:r>
    </w:p>
    <w:p w14:paraId="707E3C9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Qualitative Insights:</w:t>
      </w:r>
    </w:p>
    <w:p w14:paraId="35E73DA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Despite lectures and performance experience, students frequently selected high-anxiety answers in post-tests.</w:t>
      </w:r>
    </w:p>
    <w:p w14:paraId="03358C0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Observations suggest confidence improved in practice, but this may not have been accurately reflected in self-report measures.</w:t>
      </w:r>
    </w:p>
    <w:p w14:paraId="3849F09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Persistent high anxiety indicates that the current instructional design may not sufficiently support emotional regulation, particularly through surveys alone.</w:t>
      </w:r>
    </w:p>
    <w:p w14:paraId="07A08B7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3513D35D"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In response to the assessment findings, the following instructional changes will be implemented:</w:t>
      </w:r>
    </w:p>
    <w:p w14:paraId="54A05CE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Clarify survey directions by explicitly stating that lower Likert scores represent lower anxiety.</w:t>
      </w:r>
    </w:p>
    <w:p w14:paraId="27197DD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 xml:space="preserve">Implement a short training survey at the start of the course to ensure student understanding of scale-based questions. Give students 5 points extra credit for taking the quiz, in hopes to have more student responses. </w:t>
      </w:r>
    </w:p>
    <w:p w14:paraId="17FC514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Replace or supplement the custom survey with a validated assessment tool, such as the Personal Report of Communication Apprehension, to enhance reliability and interpretability.</w:t>
      </w:r>
    </w:p>
    <w:p w14:paraId="45C6096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lastRenderedPageBreak/>
        <w:t>•</w:t>
      </w:r>
      <w:r w:rsidRPr="001F4245">
        <w:rPr>
          <w:rFonts w:cstheme="minorHAnsi"/>
          <w:noProof/>
        </w:rPr>
        <w:tab/>
        <w:t>Reinforce coping strategies for PSA through ongoing discussions, peer-sharing, and modeled behavior, rather than a single instructional lecture.</w:t>
      </w:r>
    </w:p>
    <w:p w14:paraId="59635F4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While no immediate institutional programs are recommended, this assessment suggests the following college-wide considerations:</w:t>
      </w:r>
    </w:p>
    <w:p w14:paraId="544AFCB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 xml:space="preserve">Support for the development of a public speaking lab or coaching center where students can practice in a non-evaluative environment. Perhaps, a place in the English Lab. </w:t>
      </w:r>
    </w:p>
    <w:p w14:paraId="5BCE9F3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This skill is beneficial not only for public speaking but also for other courses and personal growth. It plays an important role in managing stress during performances, taking tests, and completing other college coursework.</w:t>
      </w:r>
    </w:p>
    <w:p w14:paraId="06288439" w14:textId="4F0C9315" w:rsidR="00775F5E" w:rsidRPr="00081598"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Offer workshops on managing performance anxiety, especially targeted toward Running Start and first-year students.</w:t>
      </w:r>
    </w:p>
    <w:p w14:paraId="78A9F061"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2A77B758"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4DC1796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Michell Valdivia</w:t>
      </w:r>
    </w:p>
    <w:p w14:paraId="125BDE8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6974C70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6</w:t>
      </w:r>
    </w:p>
    <w:p w14:paraId="4003ECD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CS 103, CS 206</w:t>
      </w:r>
    </w:p>
    <w:p w14:paraId="71A1249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In the last two years I noticed there was a disconnect among first-year students about the purpose of a server. Students could define the physical aspects of a server, but could not connect the physical concepts with the software concepts. This year we looked to bridge that connection, and doing so in a way that was financially accessible to all students. Server equipment is expensive, and simulations are limited in covering the knowledge needed to work on server hardware and software. By working with the online simulation software that we use in CS 103 and CS 206, along with financially accessible online web server hosts, students can combine both the physical and software concepts of a server in an environment that emulates real world applications.</w:t>
      </w:r>
    </w:p>
    <w:p w14:paraId="4E0632D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5EDA1922"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We used TestOut in CS 103 for third-party simulations of hardware and software server integration to get a well-rounded experience of working with the physical hardware of servers in a work environment. </w:t>
      </w:r>
    </w:p>
    <w:p w14:paraId="700306D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In CS 103 students were able to identify the physical aspects of a physical server using TestOut section 11.4, as well as configure DNS and DHCP on a simulated Windows server. This knowledge was carried over into CS 206, where students were walked through the process of creating a web server using Apache2, then Python, and managing the web servers using Linux commands. Code was hosted on Github and then deployed online, where communication between the server and client could be observed.</w:t>
      </w:r>
    </w:p>
    <w:p w14:paraId="3F29551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In CS 206 we used a website called PythonAnywhere.com to host a web server. PythonAnywhere.com is a free hosting site that allows students to sign up for their own dedicated online server space to and publish Python applications. PythonAnywhere.com further provided students with the opportunity to work with the back-end server communication in a real-world setting. </w:t>
      </w:r>
    </w:p>
    <w:p w14:paraId="2FB34DF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0CC2F66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2E7419C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Students were able to successfully bridge the physical and software components of a server. After deploying the web server on PythonAnywhere, the verbiage covered in CS 103 section 11.4 helped them understand the process of deploying a web server and observing communication between the client and the server. Students were able to deploy their own Apache2 server on their virtual machines, and were able to troubleshoot errors based on the knowledge covered in CS 103.</w:t>
      </w:r>
      <w:r w:rsidRPr="00DE5B7E">
        <w:rPr>
          <w:rFonts w:asciiTheme="minorHAnsi" w:hAnsiTheme="minorHAnsi" w:cstheme="minorHAnsi"/>
          <w:sz w:val="22"/>
          <w:szCs w:val="22"/>
        </w:rPr>
        <w:t xml:space="preserve"> </w:t>
      </w:r>
    </w:p>
    <w:p w14:paraId="370C9B0A"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The loop was closed in spring quarter through CS 206, as fall/winter quarter CS 103 did not cover the deployment of server software, but did cover the software side of configuring DHCP and DNS. </w:t>
      </w:r>
    </w:p>
    <w:p w14:paraId="79A4A2A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While students were able to simulate the physical aspects, my recommendation would be to cover the whole process of setting up the physical servers and deploying software on those servers in a classroom setting. The process broken up between courses as it is now may further disconnect the concepts in the future if instructors are not vigilant in piping the knowledge between courses in the Systems Admin program.</w:t>
      </w:r>
    </w:p>
    <w:p w14:paraId="0B325EB3"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2667B50C"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739953C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Rosemary Parsons</w:t>
      </w:r>
    </w:p>
    <w:p w14:paraId="5C3062B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4747194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5</w:t>
      </w:r>
    </w:p>
    <w:p w14:paraId="0DA2D2F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ELA (English Language Aquisition) DVS 031 , 032, 013 and HSC (High School Completion) Courses</w:t>
      </w:r>
    </w:p>
    <w:p w14:paraId="3A8399A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Program Outcome (PO) 5 of the Basic Education for Adults (BEdA) program states that students will be able to engage in respectful discussions on the concepts of diversity, inclusion, and equity. To support students in reaching this goal, BEdA instructors should have a strong working knowledge of these concepts. We have a large number of part-time faculty in BEdA; for the 2024-2025 academic year, we welcomed eight new faculty members to BEdA. Many of these instructors have professional backgrounds in areas other than education. This can create a gap in integrating diversity, inclusion, and equity into their teaching approach. Our goal was to use quarterly in-service meetings to introduce DEI educational methodology, so that instructors could better cultivate an inclusive learning environment.</w:t>
      </w:r>
    </w:p>
    <w:p w14:paraId="65AA92A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5BC8FB97"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*Note: For this year's assessment period, BEdA switched information tracking systems from WABERS to LACES, so we did not have complete access to data from our program. For this reason, we decided to focus on the faculty as a whole, rather than look at student data from specific courses. </w:t>
      </w:r>
    </w:p>
    <w:p w14:paraId="4868B16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We began the academic year by conducting a faculty survey during the BEdA fall in-service to establish a baseline on how comfortable instructors felt, including best teaching practices in diversity, inclusion, and equity. A second identical survey was conducted at the end of the academic year, and the results from both surveys were analyzed. </w:t>
      </w:r>
    </w:p>
    <w:p w14:paraId="736AF60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During the Winter 2025 and Spring 2025 BEdA in-services, the full-time faculty provide professional development focused on building a shared vocabulary that includes best teaching practices in diversity, inclusion, and equity. We included best practices from the Faculty Assessment Toolkit created by Jeni Richline. We also included training from the ESCALA Cookbook, with a focus on making syllabi more welcoming to Latinx students. In addition, in the Spring of 2025, all BEdA faculty were asked to complete a WA State BEdA 101 online training course, which included a section on DEI in the BEdA classroom.</w:t>
      </w:r>
    </w:p>
    <w:p w14:paraId="696CCE5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0E35E0F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44041E06"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The first survey was conducted on September 19, 2024. Faculty were asked five questions about their confidence levels and experience in teaching students from different languages, cultures, and backgrounds. They were asked to rate their abilities on a scale of 1-5, with 1 being "strongly disagree" and 5 being "strongly agree".</w:t>
      </w:r>
    </w:p>
    <w:p w14:paraId="6D00B22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survey also asked instructors to answer the following question: "I currently have some type of Equity or Respectful Classroom Conduct Statement in my syllabus." In the fall of 2024, instructors responded as follows: 8-Yes, 6-No, and 3-I'm not sure. In the spring of 2025, all instructors responded "yes" to this question. This data seems to show that the quarterly in-service training regarding inclusive syllabi language had a positive impact on Program Outcome 5. </w:t>
      </w:r>
    </w:p>
    <w:p w14:paraId="4EBF8A8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With regard to the data on the five questions about instructor confidence levels and experience in teaching students from different languages, cultures, and backgrounds, in fall 2024 the scores ranged from 2,3,4 and 5. In spring 2025, the scores improved to 4 and 5. This would suggest that BEdA instructors increased their knowledge and confidence in areas of diversity, inclusion, and equity within the classroom.</w:t>
      </w:r>
      <w:r w:rsidRPr="00DE5B7E">
        <w:rPr>
          <w:rFonts w:asciiTheme="minorHAnsi" w:hAnsiTheme="minorHAnsi" w:cstheme="minorHAnsi"/>
          <w:sz w:val="22"/>
          <w:szCs w:val="22"/>
        </w:rPr>
        <w:t xml:space="preserve"> </w:t>
      </w:r>
    </w:p>
    <w:p w14:paraId="25329A1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Based on our results, we will continue to allot time in our BEdA in-service meetings for teacher development in the area of diversity, inclusion, and equity. We would recommend that instructors complete ESCALA training. It is our understanding that part-time faculty at BBCC are only required to attend one in-service per year. Because of the wide range of cultures, ESL/ELL learners, and non-traditional students in the BEdA </w:t>
      </w:r>
      <w:r w:rsidRPr="001F4245">
        <w:rPr>
          <w:rFonts w:cstheme="minorHAnsi"/>
          <w:noProof/>
        </w:rPr>
        <w:lastRenderedPageBreak/>
        <w:t>program, and because we have a large number of revolving part-time faculty, we would recommend that BEdA faculty meet at least quarterly for in-service training, rather than just once per year.</w:t>
      </w:r>
    </w:p>
    <w:p w14:paraId="21AB58F3"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45801E4B"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5F17100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Dawnne Ernette</w:t>
      </w:r>
    </w:p>
    <w:p w14:paraId="12CF45F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34BB277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0AE6A05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ENGL 099 English Skills 10. Compose short essays that are appropriate for an academic audience, are unified around a clear thesis, follow academic standards for critical thinking, incorporate adequate details and support, and show sound structure and mechanics.</w:t>
      </w:r>
    </w:p>
    <w:p w14:paraId="4CA1A00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I am addressing non-completers in ENGL 099 and ways to help students complete the class. I chose the outcome 10 because it encompasses the work of the course and I'm looking at those who do not complete work.</w:t>
      </w:r>
    </w:p>
    <w:p w14:paraId="6F8489B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4AA38679"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For this assessment, I was concerned that some ENGL 099 students do not earn at least a 2.0. This groups is considered non-completers because if they earn less than 2.0, they must retake ENGL 099. For some students, impact of not earning a 2.0 in ENGL 099 may cause them to quit college all together. </w:t>
      </w:r>
    </w:p>
    <w:p w14:paraId="7E6A9FE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For fall '24, winter '25, and spring '25, I put in place several supports that should have helped students in completing the course: individual conferences in Week 2, Week 6, and finals week to check in on students' progress; multiple modes of support materials; assignments to help students plan and control; their own successes (Week 3 Plan for the quarter, Week 6 Mid-quarter update, final reflection for Portfolio); follow-up with students who seemed to have disappeared; students chose their own research topic; quick and targeted feedback on first drafts of writing projects; combination of group and individual projects; flexible late work policy; drop-in and by appointment student hours; labor-based grading to alleviate the stress of traditional grading systems.</w:t>
      </w:r>
    </w:p>
    <w:p w14:paraId="5B8559D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I looked into non-completers credit loads and success in all classes for the quarter they took ENGL 099 to see if there were any correlations or patterns that could be interpreted usefully.   </w:t>
      </w:r>
    </w:p>
    <w:p w14:paraId="25D4E0A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Students in ENGL 099 have the opportunity to earn ENGL &amp; 101 in that quarter. One result that remains steady through all quarters and previous years is that students who complete the assignments learn the skills earn ENGL &amp; 101 or pass ENGL 099 with at least a 2.0. Therefore, the assessment question that remains is why do some students not compete the assignments and what changes can I make to encourage and support more students to complete?</w:t>
      </w:r>
      <w:r w:rsidRPr="00DE5B7E">
        <w:rPr>
          <w:rFonts w:asciiTheme="minorHAnsi" w:hAnsiTheme="minorHAnsi" w:cstheme="minorHAnsi"/>
          <w:sz w:val="22"/>
          <w:szCs w:val="22"/>
        </w:rPr>
        <w:t xml:space="preserve"> </w:t>
      </w:r>
    </w:p>
    <w:p w14:paraId="72BA518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70D7C951"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FA'24: 52 students, 10 non-completers</w:t>
      </w:r>
    </w:p>
    <w:p w14:paraId="215317B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W'25: 25 students, 9 non-completers</w:t>
      </w:r>
    </w:p>
    <w:p w14:paraId="0BC0D77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Sp'25: 45 students, 11 non-completers</w:t>
      </w:r>
    </w:p>
    <w:p w14:paraId="0016B4D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30 non-completers of 122 = 24% non-completers</w:t>
      </w:r>
    </w:p>
    <w:p w14:paraId="02256AD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3 NC took less than 12 credits the quarter they took ENGL 099. The rest took between 13-19 credits. </w:t>
      </w:r>
    </w:p>
    <w:p w14:paraId="707F6FF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2 are continuing; 28 left college (Except that the 11 from spring cannot be counted yet as they might not have enrolled for summer/fall yet. In this case, 17 seem to have left college.)</w:t>
      </w:r>
    </w:p>
    <w:p w14:paraId="63F6A23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11 NC passed no classes the quarter they took ENGL 099. 19 passed one class the quarter they took ENGL 099. </w:t>
      </w:r>
    </w:p>
    <w:p w14:paraId="07BA508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A few qualitative responses include</w:t>
      </w:r>
    </w:p>
    <w:p w14:paraId="11B0337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1. I'm having too much fun right now to do homework</w:t>
      </w:r>
    </w:p>
    <w:p w14:paraId="2FB44A8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2. I am working too much at my job (This was what I heard the most.)</w:t>
      </w:r>
    </w:p>
    <w:p w14:paraId="329D050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3. My kids/mom/myself too ill (This was the next biggest one.)</w:t>
      </w:r>
    </w:p>
    <w:p w14:paraId="4CD59B8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Credit load: I was not able to find a clear correlation between course completion and credit load. 9 NC took 13 credits and 18 took 16-19. Regardless of credit load, the NCs did not complete work and so could not earn at least a 2.0.</w:t>
      </w:r>
    </w:p>
    <w:p w14:paraId="39BD662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I do find a possible correlation between being a first-quarter student and struggling to complete; however, those students who did complete were also first-quarter students. </w:t>
      </w:r>
    </w:p>
    <w:p w14:paraId="320508F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most probable correlation, then, would be between too many hours at work and family emergency/illness. There is also a connection between NCs and leaving college. </w:t>
      </w:r>
    </w:p>
    <w:p w14:paraId="0636A07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78B5A9F2"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w:t>
      </w:r>
      <w:r w:rsidRPr="00DE5B7E">
        <w:rPr>
          <w:rFonts w:asciiTheme="minorHAnsi" w:hAnsiTheme="minorHAnsi" w:cstheme="minorHAnsi"/>
          <w:b/>
          <w:bCs/>
          <w:sz w:val="22"/>
          <w:szCs w:val="22"/>
        </w:rPr>
        <w:lastRenderedPageBreak/>
        <w:t>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ENGL 099 is not a program, but it is connected to and foundational for students who place into ENGL 099 for the programs we have here at BBCC. I am not able to close this assessment loop yet.</w:t>
      </w:r>
    </w:p>
    <w:p w14:paraId="6C45B12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I will return to themed courses as I used to do. I think that, looking at last year '23-'24) and before, the themed courses provide more collaboration opportunities fore students and that those opportunities do help to strengthen student engagement. I will also provide more than 3 check-ins, not conferences necessary, but short projects to help students better see their own progress. </w:t>
      </w:r>
    </w:p>
    <w:p w14:paraId="48A947E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I need to reflect on what and how much students really need to do to accomplish the class and its concepts. I'm not sure if I am giving them too much work, but we only have 11 weeks instruction at best to accomplish the course outcomes. It may be that the English Department should review the composition classes' MCOs and discuss what we should be doing in our classes to meet the final expected outcomes. </w:t>
      </w:r>
    </w:p>
    <w:p w14:paraId="21377D8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would like to see the College provide a more-in-depth orientation process especially for those in ENGL 099 so that students can think deeply about  how many credits they should really take their first quarter and whether online or on campus instruction will really be best for their success. Also, because writing/reading classes are intensive, students should be guided toward taking a balance of classes their first quarter. For example, taking two classes with a heavy load of writing would not be beneficial but taking a writing-type class, a math-type class, and one other completely different class would be better for their brains--better for processing concepts.</w:t>
      </w:r>
    </w:p>
    <w:p w14:paraId="68D8328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I understand that taking a full load of classes each quarter (or 15 credits) gets students their degree in 2 years which is optimal. But for some students in ENGL 099, taking fewer classes the first quarter could help them.</w:t>
      </w:r>
    </w:p>
    <w:p w14:paraId="5AF801CE"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776A184B"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3C32FAFE" w14:textId="41125A23"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Zach Olson</w:t>
      </w:r>
    </w:p>
    <w:p w14:paraId="0AD3C4F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7937A6F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670C77B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ENGL 102 9. Recognize the importance of proper documentation style, and the differences between the various styles used in different college disciplines 10. Develop and improve habits of lifetime literacy. (really, our assessment touches on all outcomes).</w:t>
      </w:r>
    </w:p>
    <w:p w14:paraId="645A882B"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 xml:space="preserve">There are not any specific equity gaps that we identified in the English courses, in the program audit. In this area, many of our faculty already have a focus on historically marginalized groups and an awareness and eagerness toward trying to bridge those gaps. </w:t>
      </w:r>
    </w:p>
    <w:p w14:paraId="0026B2C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We used the course success dashboard to find issues, in order to inform the program audit. However, there were no conclusive equity gaps identified in relation to English 102. </w:t>
      </w:r>
    </w:p>
    <w:p w14:paraId="67A5A8B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p>
    <w:p w14:paraId="5945D98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67B62977"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With an increase in AI technology, there is a possibility for improvements in many areas. However, there is an increased risk students submitting dishonest writing (writing created by AI). This risk is a concern for all students but we worry, increasingly, about students that may not possess prerequisite reading and writing skills and who use AI as a crutch which allows them to avoid acquiring these skills. AI does a disservice to those students. It allows those students to continue on to other courses without the skills they should have. </w:t>
      </w:r>
    </w:p>
    <w:p w14:paraId="5261A0E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English Department would like to increase in-class writings to do two things. First, it allows us to see which students might be having issues and focus extra help or attention toward them. Second, it allows us to safeguard against potential dishonesty—or, alternatively, to alleviate our own bias concerns about academic dishonesty. We plan on doing an in-class writing at the beginning and ending of the quarter. </w:t>
      </w:r>
    </w:p>
    <w:p w14:paraId="0665D21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0B39D45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4492C2A0"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 xml:space="preserve">The above language is the department assessment plan, however I modified it for my courses, as I only taught ENGL&amp; 102 online, asynchronous, and in-class writing proctored by the instructor isn’t feasible in that modality. Instead, I had students use a Chrome extension called “Draftback” which records student typing in google docs and creates a kind of super version history where I am able to view everything they type in a video (that displays just the document page, nothing else on their computer or around them as it doesn’t require camera or microphone technology) and watch their essays develop across multiple writing sessions. In my class, students were required to compose all three major essays in Google Docs with the Draftback extension enabled to receive credit. </w:t>
      </w:r>
    </w:p>
    <w:p w14:paraId="4D414B7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While students still have ways to integrate AI source material into their essays, it did seem to significantly reduce the amount of AI content. In previous quarters without Draftback enabled, I would get around 6 to 7 essays that likely included AI content per essay assignment. On average, I now get 1 to 2, and the Draftback videos have helped me both identify when AI content is included, but more importantly get a better look at the composition process my online students use and give more directed feedback. I think that even in a world without AI or any form of dishonesty, I’d still use this tool. Student feedback indicated that they didn’t find it to be particularly invasive to their privacy or a difficult technological hurdle. A week one practice assignment ensured all students were prepared to use the technology and that I could give support as needed before major homework was due.</w:t>
      </w:r>
    </w:p>
    <w:p w14:paraId="5CF9F2A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Only formal essays require the use of Draftback, and as such I do notice different rates of likely AI use on assignments such as discussions. One discussion assignment from this quarter had about 12/25 students submit an analysis of a short story that wasn’t really supported by a reasonable reading of the text but was what AI would produce when prompted with my assignment. In meetings with the students, the majority admitted to AI use on that assignment and showed me how they had used it to construct the discussion. By contrast, on an essay due the same week, only 2 students had likely AI-generated language in their essays. </w:t>
      </w:r>
    </w:p>
    <w:p w14:paraId="7BDF786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Overall, my belief is this tool aids instruction in online asynchronous courses by allowing me to give better feedback, and it improves the security and integrity of the course. </w:t>
      </w:r>
    </w:p>
    <w:p w14:paraId="471B62B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00A79341"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lastRenderedPageBreak/>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Based on this assessment, I plan to continue to use Draftback and also seek ways to incorporate regular, spaced review of the student work into the course to give more frequent feedback. In addition, I plan to adjust my discussion post assignments in such a way that there are better incentives to do one’s own work. I intend to start each post with an example of an AI-produced response which I critique, and also to incorporate some sort of peer grading process that focuses on whether or not students feel their peers are adding value to the course with discussion contributions. My hope is that these practices will incentivize students to consider the value of the human element in their coursework and use AI less often. </w:t>
      </w:r>
    </w:p>
    <w:p w14:paraId="37C8C6A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I think that accountability and increasing the likelihood that we catch academic integrity violations is an important piece of addressing the challenges posed by AI, but it should also be paired with incentivizing the behavior we want and adjusting our approach to discussing the value of reading, writing, and critical thinking not because of their academic or economic products, but because of their transformative effect on human minds. </w:t>
      </w:r>
    </w:p>
    <w:p w14:paraId="2C78FA2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software costs about $40/year for someone who wants to view the Draftback videos. Students can install and use it for free and get limited use. I’d recommend that the college shows this tool to all teachers, but especially those with online courses. </w:t>
      </w:r>
    </w:p>
    <w:p w14:paraId="1074DDAF"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6E694DBA"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58D7B98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Patricia Jones</w:t>
      </w:r>
    </w:p>
    <w:p w14:paraId="66F54BA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6B6531A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242F56B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ENGL102</w:t>
      </w:r>
    </w:p>
    <w:p w14:paraId="471DC1F5"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 xml:space="preserve">Please note: The following was discussed during zero week and was completed by one member of our department. </w:t>
      </w:r>
    </w:p>
    <w:p w14:paraId="5BA69EE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"There are not any specific equity gaps that we identified in the English courses, in the program audit. In this area, many of our faculty already have a focus on historically marginalized groups and an awareness and eagerness toward trying to bridge those gaps. </w:t>
      </w:r>
    </w:p>
    <w:p w14:paraId="222C02E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We used the course success dashboard to find issues, in order to inform the program audit. However, there were no conclusive equity gaps identified in relation to English 102." </w:t>
      </w:r>
    </w:p>
    <w:p w14:paraId="0D77333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p>
    <w:p w14:paraId="30F5087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4352B99D"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Please note: The following was discussed during zero week and was completed by one member of our department. </w:t>
      </w:r>
    </w:p>
    <w:p w14:paraId="57A7839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With an increase in AI technology, there is a possibility for improvements in many areas. However, there is an increased risk students submitting dishonest writing (writing created by AI). This risk is a concern for all students, but we worry, increasingly, about students that may not possess prerequisite reading and writing skills and who use AI as a crutch which allows them to avoid acquiring these skills. AI does a disservice to those students. It allows those students to continue to other courses without the skills they should have. </w:t>
      </w:r>
    </w:p>
    <w:p w14:paraId="5070239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English Department would like to increase in-class writings to do two things. First, it allows us to see which students might be having issues and focus extra help or attention toward them. Second, it allows us to safeguard against potential dishonesty—or, alternatively, to alleviate our own bias concerns about academic dishonesty. We plan on doing an in-class writing at the beginning and ending of the quarter. </w:t>
      </w:r>
    </w:p>
    <w:p w14:paraId="7912AC6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5C6DB78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7825848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I did do a slightly different assessment that did not focus on in-class, handwritten writing. I focused on start-to-finish writing, beginning with a narrative style that, to the best of my knowledge, has never been compromised by AI. Then, midway, the students legitimately used AI, which most students were not particularly good at or enjoyed using. As part of the final project, the students wrote an opinion piece about the literature and a final reflection. I reviewed the first assignment and compared the writing throughout, but used the last one as the other half of the assessment. Although the students were still at various levels of writing proficiency, they all showed signs of improvement in writing style, understanding of audience and tone, and confidence in choosing a side in the debate.</w:t>
      </w:r>
      <w:r w:rsidRPr="00DE5B7E">
        <w:rPr>
          <w:rFonts w:asciiTheme="minorHAnsi" w:hAnsiTheme="minorHAnsi" w:cstheme="minorHAnsi"/>
          <w:sz w:val="22"/>
          <w:szCs w:val="22"/>
        </w:rPr>
        <w:t xml:space="preserve"> </w:t>
      </w:r>
    </w:p>
    <w:p w14:paraId="525A7035"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Based on the assessment results, I plan to incorporate AI more extensively throughout all my classes. We ask our students to use all of their resources, but we often point to AI and say, “But not that one.” I plan to teach my students how to use AI properly as a resource and what lines not to cross. </w:t>
      </w:r>
    </w:p>
    <w:p w14:paraId="728F859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Based on the results of the assessment and my own experiences with inequities in ENGL102 (they do exist), my teaching will change, and my attitude toward certain types of AI has also changed. In addition to the student outcomes in the courses, my personal goals for my students are to foster their confidence in writing and research, while also teaching them various writing styles that will be used in the real world. AI is part of that now and is not going away. It can also help bridge the gaps that some students have in their education, such as their ability to spend more or less time on homework due to jobs, families, illness, or language learning. Additionally, understanding AI better is something that businesses and other industries are expecting of recent graduates. </w:t>
      </w:r>
    </w:p>
    <w:p w14:paraId="0704874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 xml:space="preserve">The results were excellent overall, but I am not one to rest on my laurels. I aim to deepen my understanding of the subjects I teach, the business requirements for job applicants, and the technologies our students are utilizing. </w:t>
      </w:r>
      <w:r w:rsidRPr="001F4245">
        <w:rPr>
          <w:rFonts w:cstheme="minorHAnsi"/>
          <w:noProof/>
        </w:rPr>
        <w:lastRenderedPageBreak/>
        <w:t>The slight obsession certain members of my department have with hating, avoiding, or policing AI got me thinking about how I can help my students embrace it as a resource or even an educational partner rather than using it to skate by in college leaving here with little or no knowledge they need to succeed at university or within industry.</w:t>
      </w:r>
    </w:p>
    <w:p w14:paraId="18840436"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1BA2513A"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3D12EE18" w14:textId="57A1511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Sean </w:t>
      </w:r>
      <w:proofErr w:type="spellStart"/>
      <w:r>
        <w:rPr>
          <w:rStyle w:val="normaltextrun"/>
          <w:rFonts w:asciiTheme="minorHAnsi" w:hAnsiTheme="minorHAnsi" w:cstheme="minorHAnsi"/>
          <w:sz w:val="22"/>
          <w:szCs w:val="22"/>
        </w:rPr>
        <w:t>Twohy</w:t>
      </w:r>
      <w:proofErr w:type="spellEnd"/>
    </w:p>
    <w:p w14:paraId="1A44E84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608F082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10</w:t>
      </w:r>
    </w:p>
    <w:p w14:paraId="6A38109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English 101</w:t>
      </w:r>
    </w:p>
    <w:p w14:paraId="03E13D96"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 xml:space="preserve">There are not any specific equity gaps that we identified in the English courses, in the program audit. In this area, many of our faculty already have a focus on historically marginalized groups and an awareness and eagerness toward trying to bridge those gaps. </w:t>
      </w:r>
    </w:p>
    <w:p w14:paraId="730456F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We used the course success dashboard to find issues, in order to inform the program audit. However, there were no conclusive equity gaps identified in relation to English 101. </w:t>
      </w:r>
    </w:p>
    <w:p w14:paraId="088939C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p>
    <w:p w14:paraId="1379EDB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47A26E2F"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With an increase in AI technology, there is a possibility for improvements in many areas. However, there is an increased risk students submitting dishonest writing (writing created by AI). This risk is a concern for all students but we worry, increasingly, about students that may not possess prerequisite reading and writing skills and who use AI as a crutch which allows them to avoid acquiring these skills. AI does a disservice to those students. It allows those students to continue on to other courses without the skills they should have. </w:t>
      </w:r>
    </w:p>
    <w:p w14:paraId="3D69EAF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English Department would like to increase in-class writings to do two things. First, it allows us to see which students might be having issues and focus extra help or attention toward them. Second, it allows us to safeguard against potential dishonesty—or, alternatively, to alleviate our own bias concerns about academic dishonesty. We plan on doing an in-class writing at the beginning and ending of the quarter. </w:t>
      </w:r>
    </w:p>
    <w:p w14:paraId="2367390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4A02B53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64EE5D8F"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Sean Twohy: For two sections of English 101, I had students complete an in-class writing on the second day of class. This assignment was very simple, with a short lecture video describing the expectations provided to the students the night before and the day of the writing. Students could watch the lecture on their own, but it was also played right before they did the writing, in class. The writing asked them to choose a thesis from an option of two supplied statements, and to write two body paragraphs on that thesis. The body paragraphs should have topic sentences, evidence, and analysis (which were described in the lecture video). The evidence, for this assignment, would be made up, but the made-up in-text citation of the evidence should be as close to correct as the students could manage. These writings were handwritten. I used a simple evaluation of the completed in-class writings. A green check meant that the student met the expectations of the assignment. A green and orange check meant that the student was mostly meeting expectations but had one or two larger concerns. An orange check, with no green, meant the student’s writing had some larger concerns. Of the introductory in-class writing submissions, the following was found:</w:t>
      </w:r>
    </w:p>
    <w:p w14:paraId="278836B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Rubric measure </w:t>
      </w:r>
    </w:p>
    <w:p w14:paraId="2FA7659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of Students in 9:15 Class: 25</w:t>
      </w:r>
    </w:p>
    <w:p w14:paraId="43F22A2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Met Expectations: 19</w:t>
      </w:r>
    </w:p>
    <w:p w14:paraId="3C47E62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Mostly Met Expectations/Some Issues: 5</w:t>
      </w:r>
    </w:p>
    <w:p w14:paraId="2D54FA5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Significant Issues: 1</w:t>
      </w:r>
    </w:p>
    <w:p w14:paraId="301416A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of Students in 10:30 Class: 24</w:t>
      </w:r>
    </w:p>
    <w:p w14:paraId="0DB69A2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Met Expectations: 12</w:t>
      </w:r>
    </w:p>
    <w:p w14:paraId="3143AF1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Mostly Met Expectations/Some Issues: 8</w:t>
      </w:r>
    </w:p>
    <w:p w14:paraId="0C9FF92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Significant Issues: 4</w:t>
      </w:r>
    </w:p>
    <w:p w14:paraId="70269FD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There were significant differences between two classes, with the students in the 9:15 class outperforming the 10:30 class in this prewriting. There could be implications to the start time of classes, based on this result. </w:t>
      </w:r>
    </w:p>
    <w:p w14:paraId="14CFD8C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At the end of the quarter, the students did a second in-class writing, worth 10% of their grade. For this, I chose to qualify anything above an 84% as “Met expectations”, anything from a 74-84% as “Mostly Met Expectations/Some Issues”, and anything below 74% as “Significant Issues.” The results were as follows:</w:t>
      </w:r>
    </w:p>
    <w:p w14:paraId="04BCD92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Rubric measure </w:t>
      </w:r>
    </w:p>
    <w:p w14:paraId="5BE3C59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of Students in 9:15 Class: 24</w:t>
      </w:r>
    </w:p>
    <w:p w14:paraId="4C1F5D6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lastRenderedPageBreak/>
        <w:t>Met Expectations: 23</w:t>
      </w:r>
    </w:p>
    <w:p w14:paraId="6A4F6A2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Mostly Met Expectations/Some Issues: 1</w:t>
      </w:r>
    </w:p>
    <w:p w14:paraId="03A807F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Significant Issues: 0</w:t>
      </w:r>
    </w:p>
    <w:p w14:paraId="6045CE7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of Students in 10:30 Class: 24</w:t>
      </w:r>
    </w:p>
    <w:p w14:paraId="710DA4B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Met Expectations: 17</w:t>
      </w:r>
    </w:p>
    <w:p w14:paraId="3375986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Mostly Met Expectations/Some Issues: 2</w:t>
      </w:r>
    </w:p>
    <w:p w14:paraId="4164E55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Significant Issues: 5</w:t>
      </w:r>
    </w:p>
    <w:p w14:paraId="56BFE5D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Overall, there was significant improvement in both courses. This seems to imply that actual learning did occur. </w:t>
      </w:r>
    </w:p>
    <w:p w14:paraId="1AE2619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79C7E0C8"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Based on the results of the assessment, I am going to continue to look for ways to discourage dishonest AI. I am also going to continue to use in-class writings as a way to see where students are at in their writing skills and how much they’ve improved. </w:t>
      </w:r>
    </w:p>
    <w:p w14:paraId="0407589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I recommend the college continue to look for ways to help faculty to solve AI issues.</w:t>
      </w:r>
    </w:p>
    <w:p w14:paraId="76A05C8E"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010BABC6"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37C98BE5" w14:textId="5CC8368C"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Sean </w:t>
      </w:r>
      <w:proofErr w:type="spellStart"/>
      <w:r>
        <w:rPr>
          <w:rStyle w:val="normaltextrun"/>
          <w:rFonts w:asciiTheme="minorHAnsi" w:hAnsiTheme="minorHAnsi" w:cstheme="minorHAnsi"/>
          <w:sz w:val="22"/>
          <w:szCs w:val="22"/>
        </w:rPr>
        <w:t>Twohy</w:t>
      </w:r>
      <w:proofErr w:type="spellEnd"/>
    </w:p>
    <w:p w14:paraId="4A08962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4676145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10</w:t>
      </w:r>
    </w:p>
    <w:p w14:paraId="3AF6245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English 102</w:t>
      </w:r>
    </w:p>
    <w:p w14:paraId="0FDD114C"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 xml:space="preserve">There are not any specific equity gaps that we identified in the English courses, in the program audit. In this area, many of our faculty already have a focus on historically marginalized groups and an awareness and eagerness toward trying to bridge those gaps. </w:t>
      </w:r>
    </w:p>
    <w:p w14:paraId="2EED557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We used the course success dashboard to find issues, in order to inform the program audit. However, there were no conclusive equity gaps identified in relation to English 102. </w:t>
      </w:r>
    </w:p>
    <w:p w14:paraId="61F4B3A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p>
    <w:p w14:paraId="039D36C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414B6F12"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With an increase in AI technology, there is a possibility for improvements in many areas. However, there is an increased risk that students submitting dishonest writing (writing created by AI). This risk is a concern for all students but we worry, increasingly, about students that may not possess prerequisite reading and writing skills and who use AI as a crutch which allows them to avoid acquiring these skills. AI does a disservice to those students. It allows those students to continue on to other courses without the skills they should have. </w:t>
      </w:r>
    </w:p>
    <w:p w14:paraId="05F0EC4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English Department would like to increase in-class writings to do two things. First, it allows us to see which students might be having issues and focus extra help or attention toward them. Second, it allows us to safeguard against potential dishonesty—or, alternatively, to alleviate our own bias concerns about academic dishonesty. I plan on doing an in-class writing at the beginning and ending of the quarter. In addition, I plan on requiring students to complete in-class reading quizzes with a minimum average grade of 50% or higher, to be able to receive credit on the essays. This ensures that students have read the material. </w:t>
      </w:r>
    </w:p>
    <w:p w14:paraId="06A4C7A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This is a continuation of an assessment done in 2023-2024 of English 102, and an assessment done in Fall of 2024-2025 of English 101. </w:t>
      </w:r>
    </w:p>
    <w:p w14:paraId="7A8CB23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029E436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0C8B675C"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For one section of English 102, had students complete an in-class writing on the second day of class. This assignment was very simple, with a short lecture video describing the expectations provided to the students the night before and the day of the writing. Students could watch the lecture on their own, but it was also played right before they did the writing, in class. The writing asked them to choose a thesis from an option of two supplied statements, and to write two body paragraphs on that thesis. The body paragraphs should have topic sentences, evidence, and analysis (which were described in the lecture video). The evidence, for this assignment, would be made up, but the made-up in-text citation of the evidence should be as close to correct as the students could manage. These writings were handwritten. I used a simple evaluation of the completed in-class writings. A blue check meant that the student met the expectations of the assignment. A blue and green check meant that the student was mostly meeting expectations but had one or two larger concerns. A green check, with no blue, meant the student’s writing had some larger concerns. The first in-class writing was worth 10 Points, or 1% of their grade. They received all 10 points, regardless of assignment feedback. Students were allowed to read feedback, but the writing was re-collected by the instructor. Of the introductory in-class writing submissions, the following was found:</w:t>
      </w:r>
    </w:p>
    <w:p w14:paraId="5B08F1B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of Students: 25</w:t>
      </w:r>
    </w:p>
    <w:p w14:paraId="012DDA4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Met Expectations</w:t>
      </w:r>
      <w:r w:rsidRPr="001F4245">
        <w:rPr>
          <w:rFonts w:cstheme="minorHAnsi"/>
          <w:noProof/>
        </w:rPr>
        <w:tab/>
        <w:t>19</w:t>
      </w:r>
    </w:p>
    <w:p w14:paraId="571BBA6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Mostly Met Expectations/Some Issues</w:t>
      </w:r>
      <w:r w:rsidRPr="001F4245">
        <w:rPr>
          <w:rFonts w:cstheme="minorHAnsi"/>
          <w:noProof/>
        </w:rPr>
        <w:tab/>
        <w:t>4</w:t>
      </w:r>
    </w:p>
    <w:p w14:paraId="5DCB98E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Significant Issues</w:t>
      </w:r>
      <w:r w:rsidRPr="001F4245">
        <w:rPr>
          <w:rFonts w:cstheme="minorHAnsi"/>
          <w:noProof/>
        </w:rPr>
        <w:tab/>
        <w:t>2</w:t>
      </w:r>
    </w:p>
    <w:p w14:paraId="66B5A8C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At the end of the quarter, the students did a second in-class writing. The grading of these assignments was based on 200 Points, or 20% of the final grade. For this, I chose to qualify anything above an 84% as “Met expectations”, anything from a 74-84% as “Mostly Met Expectations/Some Issues”, and anything below 74% as “Significant Issues.” The results were as follows:</w:t>
      </w:r>
    </w:p>
    <w:p w14:paraId="6219232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of Students: 25</w:t>
      </w:r>
    </w:p>
    <w:p w14:paraId="79674E5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Met Expectations</w:t>
      </w:r>
      <w:r w:rsidRPr="001F4245">
        <w:rPr>
          <w:rFonts w:cstheme="minorHAnsi"/>
          <w:noProof/>
        </w:rPr>
        <w:tab/>
        <w:t>23</w:t>
      </w:r>
    </w:p>
    <w:p w14:paraId="0B36178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lastRenderedPageBreak/>
        <w:t>Mostly Met Expectations/Some Issues</w:t>
      </w:r>
      <w:r w:rsidRPr="001F4245">
        <w:rPr>
          <w:rFonts w:cstheme="minorHAnsi"/>
          <w:noProof/>
        </w:rPr>
        <w:tab/>
        <w:t>2</w:t>
      </w:r>
    </w:p>
    <w:p w14:paraId="35319CD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Significant Issues</w:t>
      </w:r>
      <w:r w:rsidRPr="001F4245">
        <w:rPr>
          <w:rFonts w:cstheme="minorHAnsi"/>
          <w:noProof/>
        </w:rPr>
        <w:tab/>
        <w:t>0</w:t>
      </w:r>
    </w:p>
    <w:p w14:paraId="4B5AB52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Of this second assessment, no student fell below the “Mostly Met Expectations” threshold. 15 students received a 100% on the final and all of the rest of the “Met expectations” group got an “A” on the final. The two students that scored “Mostly Met Expectations” were on the cusp of the cutoff, each scoring a 150 (the cutoff was a 148). One of these students scored in the “Mostly Met” category on the first in-class writing, and the other student had scored in the “significant problems” category. One of the two students had significant AI/plagiarism concerns at the beginning of the quarter, and failed a few assignments because of it. </w:t>
      </w:r>
    </w:p>
    <w:p w14:paraId="71E56DB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No student fell below the 50% average grade requirement on the in-class reading quizzes and 21 students had above an 80% on those reading quizzes. The average grade on the reading quizzes was a 88% (up from 77% last year). </w:t>
      </w:r>
    </w:p>
    <w:p w14:paraId="09AEF4A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17ED599B"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Based on the results of the assessment, I am going to continue to use in-class writings to assess student skill, and continue to seek ways in which I can discourage AI dishonesty in my courses.  </w:t>
      </w:r>
    </w:p>
    <w:p w14:paraId="0793511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Online course content is facing unprecedented concerns. Based on the success rates shown on the dashboard, the concern related to modality and success is not limited to one class, one course, or one program. Take, for instance, my English 235 course (Technical Writing). This course, as a hybrid, typically saw success rates in the upper 70% range (an exception being Covid 2019/2020 where success rates were higher for a number of reasons). When the course first moved online (2021/22), the success rates jumped to 91%. This is likely due to my inexperience in rooting out different types of academic dishonesty in a course like this. I adjusted and began using more plagiarism detection and success rates moved back down to 79% (2022/23). Last year, AI made leaps and bounds and the success rates jumped to 87%. I adjusted in 2024/2025 and success rates are back down to 79%. But my adjustments are failing to meet the concerns that AI is creating. </w:t>
      </w:r>
    </w:p>
    <w:p w14:paraId="399AF1F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English 235 is not the only course this can be seen in. Take, for example, Math 146. Face-to-face success rates are below the success rates of online courses, which has never been the case, previous to widespread AI and technology advancements. 2021/22 F2F success was 70%, whereas online success rates were at 52%. 2022/23 F2F success rates were at 60%, whereas online was 54%. In 2023/24, online success rates suddenly soared to 81%, whereas F2F rates dropped to 57%. Course seems to have been somewhat adjusted this year, but F2F success rates still lag behind online course success rates by 2%. </w:t>
      </w:r>
    </w:p>
    <w:p w14:paraId="084262D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My recommendation, to the administration, is the following:</w:t>
      </w:r>
    </w:p>
    <w:p w14:paraId="75D5684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 xml:space="preserve">Online classes need to have a face-to-face component (a final). There are too many ways for students to bypass the safeguards of online instruction. </w:t>
      </w:r>
    </w:p>
    <w:p w14:paraId="170D634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 xml:space="preserve">There needs to be an administrative-level coherent tracking of student AI issues. I have students in my English course who use AI, get caught, fail my class, who then go on to other courses where the instructor may be unaware of what is happening or how to look for it. Academic dishonesty can no longer be this sort of case-by-case thing. We need a mechanized system to track students caught using AI dishonestly in a way that both deters its use and holds students accountable. </w:t>
      </w:r>
    </w:p>
    <w:p w14:paraId="77A6505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Lots of training needs to be given on how to detect and deter AI being used dishonestly in the classroom.</w:t>
      </w:r>
    </w:p>
    <w:p w14:paraId="4265FB1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 xml:space="preserve">Institutional Data should be used to determine the courses where dishonest AI use is likely an issue, and steps should be taken to determine how to best try and put a stop to rampant dishonest AI usage. </w:t>
      </w:r>
    </w:p>
    <w:p w14:paraId="5D5F872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 xml:space="preserve">It cannot be put on an individual instructor to solve AI issues in only their classroom. Policies that focus on one instructor maintaining academic integrity, leave that instructor with a “do not take my course” sign around their neck. Just last week, I had a student looking to find a few instructors. I asked them if I could help them with something and they said they wanted to ask the instructors if they use Honorlock in their classes. The student said they wanted to take online classes, but not any classes that use Honorlock. My Technical Writing course had four students drop after watching a lecture about how any AI detection would be failed or sent up to the administration. Students are learning how to pick classes that are easier to cheat in. </w:t>
      </w:r>
    </w:p>
    <w:p w14:paraId="34D0305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 xml:space="preserve">The college should be urging the SBCTC and the accrediting bodies to come up with wide-ranging policies to detour and account for AI. In the same way that individual faculty cannot make necessary changes </w:t>
      </w:r>
      <w:r w:rsidRPr="001F4245">
        <w:rPr>
          <w:rFonts w:cstheme="minorHAnsi"/>
          <w:noProof/>
        </w:rPr>
        <w:lastRenderedPageBreak/>
        <w:t xml:space="preserve">without turning themselves into a pariah, colleges cannot be making changes individually, without risking enrollment issues. The solution needs to come from the top down. </w:t>
      </w:r>
    </w:p>
    <w:p w14:paraId="0D4EE1F2"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263EC2C7"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50C3192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Preston Wilks</w:t>
      </w:r>
    </w:p>
    <w:p w14:paraId="67A96E6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69FD087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5</w:t>
      </w:r>
    </w:p>
    <w:p w14:paraId="2B3B573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FALL2024; ACCT262 Intro to QuickBooks; Record financial information in the company file using the appropriate functions + Edit the recorded company financial information using the appropriate functions. + Prepare reports of the company financial information using the appropriate functions. + Export company financial information to other appropriate computing software.</w:t>
      </w:r>
    </w:p>
    <w:p w14:paraId="1E8C939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The accounting program enrollment is primarily female Hispanic students. When looking at the course success dashboards, we found a small dip in the success of economically disadvantaged (EDS) students in 2023-24; however, when we looked at the numbers, we found there was a total of 4 and 1 of them was unsuccessful; hence the dip (1 of 4 students).</w:t>
      </w:r>
    </w:p>
    <w:p w14:paraId="120803A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588186D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To better prepare students for the comprehensive final, we added a comprehensive project that students completed near the end of the quarter, prior to the final. In previous years, students learn the software in “chunks” based on the accounting task completed and were not required to work with these tasks together until the comprehensive final. By adding a project that addresses the cumulative learning before the final, we hoped to provide students with a better idea about their skill level and better prepare them for their final.</w:t>
      </w:r>
      <w:r w:rsidRPr="00DE5B7E">
        <w:rPr>
          <w:rFonts w:asciiTheme="minorHAnsi" w:hAnsiTheme="minorHAnsi" w:cstheme="minorHAnsi"/>
          <w:sz w:val="22"/>
          <w:szCs w:val="22"/>
        </w:rPr>
        <w:t xml:space="preserve"> </w:t>
      </w:r>
    </w:p>
    <w:p w14:paraId="7C1EF07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49FD24C8"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In Fall 2023, we had no cumulative learning project prior to the final exam, and the average score on the comprehensive final exam was 83%.</w:t>
      </w:r>
    </w:p>
    <w:p w14:paraId="0F78F52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In Fall 2024, we implemented a cumulative assignment prior to the final exam, and the average score on the cumulative case was 90%. It appears that this pre-final exam project definitely helped with the overall learning of the software, as the class average on the comprehensive final exam was 92%.</w:t>
      </w:r>
      <w:r w:rsidRPr="00DE5B7E">
        <w:rPr>
          <w:rFonts w:asciiTheme="minorHAnsi" w:hAnsiTheme="minorHAnsi" w:cstheme="minorHAnsi"/>
          <w:sz w:val="22"/>
          <w:szCs w:val="22"/>
        </w:rPr>
        <w:t xml:space="preserve"> </w:t>
      </w:r>
    </w:p>
    <w:p w14:paraId="2E62CE76"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-In future offerings of our ACCT262 class, we will continue providing the students with a cumulative assignment prior to the final exam.</w:t>
      </w:r>
    </w:p>
    <w:p w14:paraId="1F975C2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-This experiment has heightened my understanding of the need for cumulative projects in our accounting technology classes and will look to implement wherever possible.</w:t>
      </w:r>
    </w:p>
    <w:p w14:paraId="0CB75BD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-None for the college.</w:t>
      </w:r>
    </w:p>
    <w:p w14:paraId="6BC856E7"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7FBACCFB"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3C56BD22" w14:textId="4AE392A5" w:rsidR="00775F5E" w:rsidRPr="00DE5B7E" w:rsidRDefault="00775F5E" w:rsidP="00775F5E">
      <w:pPr>
        <w:pStyle w:val="paragraph"/>
        <w:spacing w:before="0" w:beforeAutospacing="0" w:after="0" w:afterAutospacing="0"/>
        <w:textAlignment w:val="baseline"/>
        <w:rPr>
          <w:rStyle w:val="normaltextrun"/>
          <w:rFonts w:asciiTheme="minorHAnsi" w:hAnsiTheme="minorHAnsi" w:cstheme="minorBidi"/>
          <w:sz w:val="22"/>
          <w:szCs w:val="22"/>
        </w:rPr>
      </w:pPr>
      <w:r w:rsidRPr="27C5D041">
        <w:rPr>
          <w:rStyle w:val="normaltextrun"/>
          <w:rFonts w:asciiTheme="minorHAnsi" w:hAnsiTheme="minorHAnsi" w:cstheme="minorBidi"/>
          <w:b/>
          <w:sz w:val="22"/>
          <w:szCs w:val="22"/>
        </w:rPr>
        <w:lastRenderedPageBreak/>
        <w:t>Name</w:t>
      </w:r>
      <w:r w:rsidRPr="27C5D041">
        <w:rPr>
          <w:rStyle w:val="normaltextrun"/>
          <w:rFonts w:asciiTheme="minorHAnsi" w:hAnsiTheme="minorHAnsi" w:cstheme="minorBidi"/>
          <w:sz w:val="22"/>
          <w:szCs w:val="22"/>
        </w:rPr>
        <w:t xml:space="preserve">: Jody </w:t>
      </w:r>
      <w:proofErr w:type="spellStart"/>
      <w:r w:rsidRPr="27B55E6F">
        <w:rPr>
          <w:rStyle w:val="normaltextrun"/>
          <w:rFonts w:asciiTheme="minorHAnsi" w:hAnsiTheme="minorHAnsi" w:cstheme="minorBidi"/>
          <w:sz w:val="22"/>
          <w:szCs w:val="22"/>
        </w:rPr>
        <w:t>Quitadamo</w:t>
      </w:r>
      <w:proofErr w:type="spellEnd"/>
    </w:p>
    <w:p w14:paraId="66A2963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066AC10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487B469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HIST&amp;136</w:t>
      </w:r>
    </w:p>
    <w:p w14:paraId="3C4EDE2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We identified an achievement gap between students who are in the following age groups: younger than 20 and 20-24.  The younger cohort completes this course with a 77% success rate. The older cohort completes with an 86% success rate.  The concern we’re trying to address is how to close that achievement gap.  The plan is to identify hidden barriers in a current assessment and modify it to remove those barriers with the hope that the younger cohort will have a higher success rate overall.</w:t>
      </w:r>
    </w:p>
    <w:p w14:paraId="38AE325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0DCE5D8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The plan is to require a different book for a Socratic Seminar, specifically The Wordy Shipmates, which may be more approachable for students than the previous book used – The Other Slavery.  The subject matter is different, but the themes are the same as they relate to Course Outcome 5. My hope is that by utilizing this book for the Socratic Seminar, students will have more success in achieving this course outcome than in previous years.</w:t>
      </w:r>
      <w:r w:rsidRPr="00DE5B7E">
        <w:rPr>
          <w:rFonts w:asciiTheme="minorHAnsi" w:hAnsiTheme="minorHAnsi" w:cstheme="minorHAnsi"/>
          <w:sz w:val="22"/>
          <w:szCs w:val="22"/>
        </w:rPr>
        <w:t xml:space="preserve"> </w:t>
      </w:r>
    </w:p>
    <w:p w14:paraId="40E775D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0AA0728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Of the 25 students enrolled, 23 completed the Socratic Seminar assessment on The Wordy Shipmates. Among those who participated, 23 passed the assessment, with 20 students (80%) earning a score of 70% or higher. Notably, 10 students achieved scores of 90% or above, demonstrating strong engagement and understanding. Two students did not complete the assessment.</w:t>
      </w:r>
      <w:r w:rsidRPr="00DE5B7E">
        <w:rPr>
          <w:rFonts w:asciiTheme="minorHAnsi" w:hAnsiTheme="minorHAnsi" w:cstheme="minorHAnsi"/>
          <w:sz w:val="22"/>
          <w:szCs w:val="22"/>
        </w:rPr>
        <w:t xml:space="preserve"> </w:t>
      </w:r>
    </w:p>
    <w:p w14:paraId="48557795"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With 92% of students passing the assessment, the results indicate that the current instructional strategies and course materials are generally effective in supporting student learning. However, to close the assessment loop and continue improving outcomes, I plan to implement more structured pre-seminar activities to support the remaining students who struggled. These may include guided reading questions, scaffolded note-taking, and small-group discussions to build confidence before the full seminar.</w:t>
      </w:r>
    </w:p>
    <w:p w14:paraId="11D97C3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Additionally, I will incorporate more opportunities for formative feedback throughout the unit to help students better prepare for the summative Socratic Seminar.</w:t>
      </w:r>
    </w:p>
    <w:p w14:paraId="5F7F828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At the program level, I recommend continued support for professional development focused on facilitating student-led discussions and assessing critical thinking, as these are key skills reinforced in this type of assessment.</w:t>
      </w:r>
    </w:p>
    <w:p w14:paraId="27E5B0DD"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31BED4F2"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00FC066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Lindsay Groce</w:t>
      </w:r>
    </w:p>
    <w:p w14:paraId="5F8E89F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7A50905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7FBD5DD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HIST/SCI 105 - Introduction to the History of Science (no specific course outcome)</w:t>
      </w:r>
    </w:p>
    <w:p w14:paraId="1EC53ECC"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 xml:space="preserve">My original project was to look at error analysis for my general chemistry series via an updated edition of the ACS exam, but I did not move quick enough to purchase them at the beginning of the year prior to the budget freeze and I missed my opportunity to get a new data set.  I have built it into my budget request for next year and am hoping to follow up with general chemistry at that time.  </w:t>
      </w:r>
    </w:p>
    <w:p w14:paraId="1006D52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So, pivoting, then.  As an institution, we are looking at AI usage in the context of IO1 regarding Communication.  I have always been reluctant to both personally use and want to incorporate AI in my classes, so I thought I would try to create an assignment this year that incorporated it and then collect some baseline data on student perceptions about it to see what I should do moving forward.  I don't have any data about equity gaps to back this up because I am using my HIST/SCI 105 course and this is only the second time I have taught it, so there isn't enough data year to year to parse out any particular patterns in student success, but I think in giving guidance on AI usage in a different way than they might have seen or used it before, there might be a salutary effect in giving the tools to the less tech saavy, or English Language Learning students in the class.  I am also trying to address my own anti-AI biases.</w:t>
      </w:r>
    </w:p>
    <w:p w14:paraId="712CFA9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659715A6"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The students completed a midterm project that involved writing a lab report about an important historical science experiment.  This is the second year I have done the assignment, but this year, I incorporated an AI component.  As like last year, I had to teach the students about how to write a good lab report, including the different sections required, and the particular features of each of those sections (Procedure, Data, Results and Discussion, etc.).  This year, I did two things differently.  First, I narrowed down the choices to some relevant historical experiments to the content we covered over the quarter (this was in response to some of the choices I got last year that left it too open ended and there were a lot of random ones).  Second, I wrote a prompt for them to use in their choice of AI and I took a little class time to model how to do it with them and show them how it worked.  The prompt asks the AI to act as that historical scientist and perform and interview about their specific work.  I modeled with ChatGPT, but the students could use whatever they were comfortable with (thought the majority used ChatGPT).</w:t>
      </w:r>
    </w:p>
    <w:p w14:paraId="70267F8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Here was the information about the AI usage from the assignment (including the AI prompt):</w:t>
      </w:r>
    </w:p>
    <w:p w14:paraId="0FF86D4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"You'll start by doing some preliminary research on your chosen scientist and their experiment.  Then, I want you to use AI to 'interview' your scientist about their experiment.  You can use ChatGPT, Gemini, Claude, or whatever else you're comfortable with.  Here are some parameters/guidance for that part - start with this prompt:</w:t>
      </w:r>
    </w:p>
    <w:p w14:paraId="488474C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"I'm a student in a History of Science class at a community college.  We have a project where we need to interview an historical scientist about an important experiment they performed.  I need you to act as that scientist and I would like to ask you some questions about your work.  Is that okay?  What information do you need from me to help with this?"</w:t>
      </w:r>
    </w:p>
    <w:p w14:paraId="1C812DD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AI will probably respond that it needs certain info and you will give it that information.  It will tell you when its ready for you to ask questions.  Make sure to ask at least 5 questions of the AI.  Once the conversation is done, then thank the AI for the help with your project and copy paste the text into a Word or Google doc (this will be uploaded with your project, as well).  The information you used from this conversation needs to be cited."  </w:t>
      </w:r>
    </w:p>
    <w:p w14:paraId="22C9783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also gave them information about how to cite the conversation with AI and looked for both the transcript as well as the citation as part of the score for the assignment.</w:t>
      </w:r>
    </w:p>
    <w:p w14:paraId="261686C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Then, in a survey at the end of the course, I asked: "What did you think about the use of AI in the Midterm project?  Pros/cons?  Was it useful?  Different than the way you've used AI in the past?" and collected that as data.</w:t>
      </w:r>
      <w:r w:rsidRPr="00DE5B7E">
        <w:rPr>
          <w:rFonts w:asciiTheme="minorHAnsi" w:hAnsiTheme="minorHAnsi" w:cstheme="minorHAnsi"/>
          <w:sz w:val="22"/>
          <w:szCs w:val="22"/>
        </w:rPr>
        <w:t xml:space="preserve"> </w:t>
      </w:r>
    </w:p>
    <w:p w14:paraId="493DC9E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62785B11"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 xml:space="preserve">Keeping in mind that the goal of this assessment is to collect some baseline data on the student perception of this use of AI, there were some overall trends in the qualitative surveys.  22 of the respondents (n=24, it was </w:t>
      </w:r>
      <w:r w:rsidRPr="001F4245">
        <w:rPr>
          <w:rFonts w:cstheme="minorHAnsi"/>
          <w:noProof/>
        </w:rPr>
        <w:lastRenderedPageBreak/>
        <w:t>administered with their final exam) liked, really liked, or loved the use of AI with the project.  One of the students who didn't didn't do the midterm project and the other just said they don't like AI at all.  Of the 22 that responded favorably, here are some representative comments:</w:t>
      </w:r>
    </w:p>
    <w:p w14:paraId="3E4A907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quite enjoyed the midterm project, with the inclusion of AI it was different and engaging as we role played an interviewer asking questions to a public figure that came before us.  I thought it was useful as it highlights a useful way we could use AI for the better in the future."</w:t>
      </w:r>
    </w:p>
    <w:p w14:paraId="4D93FCC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loved it.  It was interesting and unlike anything I've done before."</w:t>
      </w:r>
    </w:p>
    <w:p w14:paraId="4155C4F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"It was useful and helped me learn history and the use of AI at the same time.  I've learned to assign it roles to receive better answers.  It was different and it was worth it."</w:t>
      </w:r>
    </w:p>
    <w:p w14:paraId="12734EE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was really impressed by the use of AI in the midterm.  I kind of didn't realize you could have AI do anything you want it to before I used it for that."</w:t>
      </w:r>
    </w:p>
    <w:p w14:paraId="6CA65C0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"THAT WAS SO COOL.  I loved that project!  I didn't even know AI could do that.  I have 0 complaints because it was not hard and a great way to use our current technology."</w:t>
      </w:r>
    </w:p>
    <w:p w14:paraId="4524E17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like that we're implementing AI nowadays.  I've never tried to use it to interview someone that was a great idea (after I interviewed Lebron James for fun).  I thought it gave some pretty good insight, it was a direct answer to my questions, and was an interactive way to research."</w:t>
      </w:r>
    </w:p>
    <w:p w14:paraId="32EA6E2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found it really cool and I'm glad we addressed the fact that AI is a useful tool and when used for research as this it's a great way to have conversations you would've never thought possible."</w:t>
      </w:r>
    </w:p>
    <w:p w14:paraId="66913C9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6CCE45F1"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My major takeaways from this are:</w:t>
      </w:r>
    </w:p>
    <w:p w14:paraId="405E2DA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1. I obviously need to keep doing this project.  The students really enjoy it and I think incorporating the AI (against my own wishes) was a good call.  Seeing that the students valued the teaching them how to use it part made me feel good and that maybe I should beef up that part more.</w:t>
      </w:r>
    </w:p>
    <w:p w14:paraId="780955B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2. I would like to take another run at that professional development that Jenni Richline did in the Fall.  I started the course, but it was just too much on top of everything else this year and I didn't finish.  Now that I have dived into the thinking (in no small part because of the work I DID complete in that course) about how AI could be incorporated in my classes, I think I'm better prepared to take on that workload.  I hope that it will be offered again next year.  I think this will just help in writing better and better prompts and helping me use the right language in teaching the students about using AI in a research context.</w:t>
      </w:r>
    </w:p>
    <w:p w14:paraId="192A8B0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3. Thinking about institutional change based on this, I would just hope that it's an encouragement to the college to continue giving us resources and trainings on using and teaching AI.  The students seem to really value shifting their thinking on it for different ways they can use it as a tool.  </w:t>
      </w:r>
    </w:p>
    <w:p w14:paraId="10253A7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This was a very small project, and obviously not what I had originally planned.  This means that the Chemistry department was light on assessment work this year and I take responsibility for that.  I will hopefully remedy it with next year's work getting back to the ACS (as long as it's funded).</w:t>
      </w:r>
    </w:p>
    <w:p w14:paraId="0B751E17"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27101AF8"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2FE761E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Melissa Heaps</w:t>
      </w:r>
    </w:p>
    <w:p w14:paraId="5AA4A60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798227B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5</w:t>
      </w:r>
    </w:p>
    <w:p w14:paraId="113A9B2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HSC/OPD 010 &amp; 011 – English 1 &amp; 2, HSC/OPD 015 Career Math, HSC/OPD0 016 – Algebra, HSC/OPD 017 – Geometry, HSC/OPD 021 – Non-Lab Sci, DVS 031 &amp; 032 – Beginning &amp; Intermediate ELA</w:t>
      </w:r>
    </w:p>
    <w:p w14:paraId="105E206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Program Outcome (PO) 5 of the Basic Education for Adults (BEdA) program states that students will be able to engage in respectful discussions on the concepts of diversity, inclusion, and equity. To support students in reaching this goal, BEdA instructors should have a strong working knowledge of these concepts. We have a large number of part-time faculty in BEdA; for the 2024-2025 academic year, we welcomed eight new faculty members to BEdA. Many of these instructors have professional backgrounds in areas other than education. This can create a gap in integrating diversity, inclusion, and equity into their teaching approach. Our goal was to use quarterly in-service meetings to introduce DEI educational methodology, so that instructors could better cultivate an inclusive learning environment.</w:t>
      </w:r>
    </w:p>
    <w:p w14:paraId="060CBF1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320CBD3D"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*Note: For this year's assessment period, BEdA switched information tracking systems from WABERS to LACES, so we did not have complete access to data from our program. For this reason, we decided to focus on the faculty as a whole, rather than look at student data from specific courses.  </w:t>
      </w:r>
    </w:p>
    <w:p w14:paraId="2DC490B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We began the academic year by conducting a faculty survey during the BEdA fall in-service to establish a baseline on how comfortable instructors felt including best teaching practices in diversity, inclusion, and equity. A second identical survey was conducted at the end of the academic year, and the results from both surveys were anayzed.  </w:t>
      </w:r>
    </w:p>
    <w:p w14:paraId="68F1C31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During the Winter 2025 and Spring 2025 BEdA in-services, the full-time faculty provided professional development focused on building a shared vocabulary that includes best teaching practices in diversity, inclusion, and equity. We included best practices from the Faculty Assessment Toolkit created by Jeni Richline. We also included training from the ESCALA Cookbook, with a focus on making syllabi more welcoming to Latinx students. In addition, in the spring of 2025, all BEdA faculty were asked to complete a WA State BEdA 101 online training course, which included a section on DEI in the BEdA classroom.</w:t>
      </w:r>
      <w:r w:rsidRPr="00DE5B7E">
        <w:rPr>
          <w:rFonts w:asciiTheme="minorHAnsi" w:hAnsiTheme="minorHAnsi" w:cstheme="minorHAnsi"/>
          <w:sz w:val="22"/>
          <w:szCs w:val="22"/>
        </w:rPr>
        <w:t xml:space="preserve"> </w:t>
      </w:r>
    </w:p>
    <w:p w14:paraId="1DD5D25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2EF37261"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 xml:space="preserve">The first survey was conducted on September 19, 2024. Faculty were asked five questions about their confidence levels and experience in teaching students from different languages, cultures, and backgrounds. They were asked to rate their abilities on a scale of 1-5, with 1 being "strongly disagree" and 5 being "strongly agree". </w:t>
      </w:r>
    </w:p>
    <w:p w14:paraId="4C77C91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 survey also asked instructors to answer the following question: "I currently have some type of Equity or Respectful Classroom Conduct Statement in my syllabus." In the fall of 2024, instructors responded as follows: 8-Yes, 6-No, and 3-I'm not sure. In the spring of 2025, all instructors responded "yes" to this question. This data seems to show that the quarterly in-service training regarding inclusive syllabi language had a positive impact on Program Outcome 5.  </w:t>
      </w:r>
    </w:p>
    <w:p w14:paraId="2A6AF0C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With regard to the data on the five questions about instructor confidence levels and experience in teaching students from different languages, cultures, and backgrounds, in fall 2024 the scores ranged from 2,3,4 and 5. In spring 2025, the scores improved to 4 and 5. This would suggest that BEdA instructors increased their knowledge and confidence in areas of diversity, inclusion, and equity within the classroom.</w:t>
      </w:r>
      <w:r w:rsidRPr="00DE5B7E">
        <w:rPr>
          <w:rFonts w:asciiTheme="minorHAnsi" w:hAnsiTheme="minorHAnsi" w:cstheme="minorHAnsi"/>
          <w:sz w:val="22"/>
          <w:szCs w:val="22"/>
        </w:rPr>
        <w:t xml:space="preserve"> </w:t>
      </w:r>
    </w:p>
    <w:p w14:paraId="63A4695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Based on our results, we will continue to allot time in our BEdA in-serving meetings for teacher development in the area of diversity, inclusion, and equity. We would recommend that instructors complete ESCALA training. It is our understanding that part-time faculty at BBCC are only required to attend one department in-service per year. Because of the wide range of cultures, ESL/ELL learners, and non-traditional students in the </w:t>
      </w:r>
      <w:r w:rsidRPr="001F4245">
        <w:rPr>
          <w:rFonts w:cstheme="minorHAnsi"/>
          <w:noProof/>
        </w:rPr>
        <w:lastRenderedPageBreak/>
        <w:t>BEdA program, and because we have a large number of revolving part-time faculty, we would recommend that BEdA faculty meet at least quarterly for in-service training, rather than just once per year.</w:t>
      </w:r>
    </w:p>
    <w:p w14:paraId="3A9C49FC"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18CF126E"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5B02BD2F" w14:textId="57882CFA"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Justin Henley and Gina Cutts</w:t>
      </w:r>
    </w:p>
    <w:p w14:paraId="132088E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6230845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6</w:t>
      </w:r>
    </w:p>
    <w:p w14:paraId="7A5204E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IST 102, Technical Drawing Interpretation, #3 Demonstrate knowledge of drawing nomenclature, symbols, notes and abbreviations.</w:t>
      </w:r>
    </w:p>
    <w:p w14:paraId="3793D39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We will assess student information retention regarding technical drawing nomenclature, symbols, notes and abbreviations from IST 102 into MPT 125 and MPT 145, and if there are any equity gaps.</w:t>
      </w:r>
    </w:p>
    <w:p w14:paraId="3D28F31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67028BC6"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A pretest was utilized in MPT125 to measure students’ current understanding of print reading before giving them additional instruction on the subject moving forward in the course. Additionally, reflective discussions were used after providing a print reading review.</w:t>
      </w:r>
    </w:p>
    <w:p w14:paraId="67B923A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The MPT 145 class focused specifically on increasing knowledge of print reading and part analysis. The use of quizzes, projects, and lab exercises throughout the quarter assessed students’ current level of understanding.</w:t>
      </w:r>
    </w:p>
    <w:p w14:paraId="449915F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3FEC278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61B44EFC"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There was no significant Equity Gap found in MPT 125; with Female and Latinx students performing as well or better that Male/White. However generally, students reflected on not having as good a grasp on different view types, dimensioning standards, title block features and notes as they had thought.</w:t>
      </w:r>
    </w:p>
    <w:p w14:paraId="5D47128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In MPT145  the results did not explicitly highlight disparities among underrepresented groups or students with accommodation needs. However, it was observed that many students required substantial review and prompting them to engage in critical and independent thinking.</w:t>
      </w:r>
    </w:p>
    <w:p w14:paraId="0A9FB8D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2C82CF1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Based on the results of the assessment,  additional assignments will be incorporated focusing on analyzing prints and their features as well as view standards. A flipped classroom model and interactive quizzes will be integrated into IST 102. This proactive approach builds upon successful strategies planned for other courses and aims to improve student success throughout the program.</w:t>
      </w:r>
    </w:p>
    <w:p w14:paraId="47AD4981"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5DE9A850"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1D2D95E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Rhonda Kitchens</w:t>
      </w:r>
    </w:p>
    <w:p w14:paraId="78DD89A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65F69C5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3</w:t>
      </w:r>
    </w:p>
    <w:p w14:paraId="40D98DC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LIB 101  Introduction to libraries and information resources Discuss academic integrity and plagiarism Formulate a research question  Create search strategies and broaden keywords Discuss information formats and evaluation Overview of Internet research Demonstration and evaluation of databases Select, locate, and retrieve resources Create an annotated bibliography that incorporates academic-level research methodology</w:t>
      </w:r>
    </w:p>
    <w:p w14:paraId="751FE327"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I collected 3 years and 9 classes of LIB 101 Module 7 where I ask three key questions:</w:t>
      </w:r>
    </w:p>
    <w:p w14:paraId="635A384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Q1: Did you learn something you want to share?</w:t>
      </w:r>
    </w:p>
    <w:p w14:paraId="172E691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Q2: What has your lowest point of this project been?</w:t>
      </w:r>
    </w:p>
    <w:p w14:paraId="6A827B0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Q3: What has been your highest?</w:t>
      </w:r>
    </w:p>
    <w:p w14:paraId="2AB5EBE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I believed that Module 4 was the difficult module, but I tweak it a bit each quarter. However, this review showed several issues and that Module 6, the module I thought of as a "break" was the hardest to many students. It uses three different evaluation methods on one scholarly article. The methods are WWWW, CRAAP, and Lateral Reading. </w:t>
      </w:r>
    </w:p>
    <w:p w14:paraId="202786D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p>
    <w:p w14:paraId="276B8C2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63EC0BD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This is a baseline. To be honest, I am not finished. I also see I may have a publishable paper. I am at 77 pages of notes and ideas. It is a qualitative method research. I am using thematic analysis. I am working on three different types of coding using word maps, ChatGPT, and some other basic methods like FIND on Word.</w:t>
      </w:r>
      <w:r w:rsidRPr="00DE5B7E">
        <w:rPr>
          <w:rFonts w:asciiTheme="minorHAnsi" w:hAnsiTheme="minorHAnsi" w:cstheme="minorHAnsi"/>
          <w:sz w:val="22"/>
          <w:szCs w:val="22"/>
        </w:rPr>
        <w:t xml:space="preserve"> </w:t>
      </w:r>
    </w:p>
    <w:p w14:paraId="718FB50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31210A5D"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 xml:space="preserve">Q1:  Students were excited to learn about Google Scholar (full text search), Boolean logic (search strategy), &amp; database use. Many wished they had this information their first quarter. Some were very excited to learn about the areas where AI was working well and making a difference like healthcare and mental health. Others reflected on how procrastination hurt them in the course. Some were surprised how social media and other information sources didn't tell them about the larger and often positive artificial intelligence story. </w:t>
      </w:r>
    </w:p>
    <w:p w14:paraId="5B97616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didn’t know what AI was until this project. Now I get how it works and why people are scared and excited about it.”</w:t>
      </w:r>
    </w:p>
    <w:p w14:paraId="5981BC6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was shocked how many fake sites are on the first page of Google. You really have to dig deeper.”</w:t>
      </w:r>
    </w:p>
    <w:p w14:paraId="6124EC5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Q2: Students mentioned time management issues. They also found learning APA Style to be daunting. In Module 4, they found quantitative methods the most difficult to find. Module 6 was the most difficult and then Module 6. Module 6 is the research evaluation module. Module 4 is the finding a scholarly research article with quantitative and also another with qualitative methods. One use of mixed methods is aceptable. </w:t>
      </w:r>
    </w:p>
    <w:p w14:paraId="608CBA2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“Every. Single. Source. And citations and references and the authors. I generally do not understand anything.”</w:t>
      </w:r>
    </w:p>
    <w:p w14:paraId="11CE222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“My lowest point was just turning in my work late because so much has happened in my life...”</w:t>
      </w:r>
    </w:p>
    <w:p w14:paraId="2C008CD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Q3: Students were glad to gain confidence. Finding so many ways to look at research provided them with power. They liked quick, detailed, and personal feedback. </w:t>
      </w:r>
    </w:p>
    <w:p w14:paraId="2C2875D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 loved researching scholarly articles and reading them!”</w:t>
      </w:r>
    </w:p>
    <w:p w14:paraId="273E83F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“When I found an article that fit my topic exactly, I knew I could finish strong.”</w:t>
      </w:r>
    </w:p>
    <w:p w14:paraId="245A5F8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“Professor Rhonda’s feedback videos really helped me know what to fix...I’ve never had that before.”</w:t>
      </w:r>
      <w:r w:rsidRPr="00DE5B7E">
        <w:rPr>
          <w:rFonts w:asciiTheme="minorHAnsi" w:hAnsiTheme="minorHAnsi" w:cstheme="minorHAnsi"/>
          <w:sz w:val="22"/>
          <w:szCs w:val="22"/>
        </w:rPr>
        <w:t xml:space="preserve"> </w:t>
      </w:r>
    </w:p>
    <w:p w14:paraId="3A104125"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I am going to draw back from some scaffolding I did with APA Style and annotations. I am going to develop 2 deadlines a week. I felt that I had created a low stakes course, but students are changing. They have less time. I allow students to make up all points after feedback. Each week builds a final project. Nothing is wasted. However, students see the 2 credit hour class and it falls to the bottom of their time management practices. Perhaps, the course needs to be in their mind more, and have 2 weekly research assignments with 1 source each.  I am going to change the introduction to have APA flashcards and varied introductions. </w:t>
      </w:r>
    </w:p>
    <w:p w14:paraId="1CA006A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lastRenderedPageBreak/>
        <w:t xml:space="preserve">As to whole campus issue, teaching MLA versus APA Style does not support our transfer students. LIB 101 teaches APA Style. History courses teach Chicago. Chemistry uses ACA. Sociology uses ASA. We need to expose students to being able to work with citations of their profession. Copy/pasting URLs is not acceptable. Copy/pasting the suggested citation in a database, isn't going to help them in their academic journey. </w:t>
      </w:r>
    </w:p>
    <w:p w14:paraId="422B0E5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My unrequired course should not be the first place BBCC students work with databases, varied source formats, documentation, synthesizing research, and ethical use of information. </w:t>
      </w:r>
    </w:p>
    <w:p w14:paraId="08D17D1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ENGL not using library instruction and collaboration continues to be a disservice to students.</w:t>
      </w:r>
    </w:p>
    <w:p w14:paraId="1C46720F"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5592629E"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6BDE37F0" w14:textId="2058E10B"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Rhonda Kitchens</w:t>
      </w:r>
    </w:p>
    <w:p w14:paraId="4714EBA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08A103B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2418571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Library</w:t>
      </w:r>
    </w:p>
    <w:p w14:paraId="54D24F32"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 xml:space="preserve">Taneka et al. (2021) suggests that Google is more real to students than the library itself.  As the call for library instruction and drop in research questions fall, this project was undertaken to try to get ahead of change or fix what was at hand for information literacy at the William C. Bonaudi Library.  First, as Taneka et al. finds, faculty doesn’t speak information literacy. They speak about media literacy, lenses, and critical thinking. Meantime, studies show that students want to be self-serve versus asking for help. </w:t>
      </w:r>
    </w:p>
    <w:p w14:paraId="2335075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On Wednesdays, I answer questions from all over the globe but especially America with an emphasis on the West coast.  Faculty are assigning research. Students are asking for help.  I help more students from California higher education institutions than I do here at Moses Lake, Washington.</w:t>
      </w:r>
    </w:p>
    <w:p w14:paraId="44671D5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42DEA904"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A survey that in Spring 2024 was only answered by 11 faculty.  This wasn't enough to get any statisitcally valid information.</w:t>
      </w:r>
    </w:p>
    <w:p w14:paraId="7306E0A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I want to fill in the missing two portions of the assessment I didn't have time to do and have the survey added to the Spring inservice in order to get more respondents.</w:t>
      </w:r>
      <w:r w:rsidRPr="00DE5B7E">
        <w:rPr>
          <w:rFonts w:asciiTheme="minorHAnsi" w:hAnsiTheme="minorHAnsi" w:cstheme="minorHAnsi"/>
          <w:sz w:val="22"/>
          <w:szCs w:val="22"/>
        </w:rPr>
        <w:t xml:space="preserve"> </w:t>
      </w:r>
    </w:p>
    <w:p w14:paraId="69E6786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49A712A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Not enough respondents. Want to try again with the help of administration.</w:t>
      </w:r>
      <w:r w:rsidRPr="00DE5B7E">
        <w:rPr>
          <w:rFonts w:asciiTheme="minorHAnsi" w:hAnsiTheme="minorHAnsi" w:cstheme="minorHAnsi"/>
          <w:sz w:val="22"/>
          <w:szCs w:val="22"/>
        </w:rPr>
        <w:t xml:space="preserve"> </w:t>
      </w:r>
    </w:p>
    <w:p w14:paraId="2983E385"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TBD.  Spring 2024:  </w:t>
      </w:r>
    </w:p>
    <w:p w14:paraId="43BC1E0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In response to this 2024 assessment, I will implement the following beginning Fall 2024. </w:t>
      </w:r>
    </w:p>
    <w:p w14:paraId="22D92C5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Change instruction goals from students to Faculty and Staff beginning Week 0. </w:t>
      </w:r>
    </w:p>
    <w:p w14:paraId="0087D79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Use posters to reach students about Library resources and service, not just for events. </w:t>
      </w:r>
    </w:p>
    <w:p w14:paraId="76673DC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Create a “more than a laptop...” campaign. </w:t>
      </w:r>
    </w:p>
    <w:p w14:paraId="71B91D4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Create real office hours </w:t>
      </w:r>
    </w:p>
    <w:p w14:paraId="65A4540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Continue to blend the four identified statistical areas. For instance, Ask a Librarian transcripts need to be reviewed individually to collect data. </w:t>
      </w:r>
    </w:p>
    <w:p w14:paraId="6C377AE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Create a marketing campaign that highlights resources and support. </w:t>
      </w:r>
    </w:p>
    <w:p w14:paraId="2773209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Create and sustain associate faculty efforts </w:t>
      </w:r>
    </w:p>
    <w:p w14:paraId="06B6736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Go back 3 years and check in on “new” faculty </w:t>
      </w:r>
    </w:p>
    <w:p w14:paraId="2076573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Continue to monitor and follow up on MCOs</w:t>
      </w:r>
    </w:p>
    <w:p w14:paraId="4C21136C"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2BF300B6"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246EFDDE" w14:textId="187037EC"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Michele Reeves</w:t>
      </w:r>
    </w:p>
    <w:p w14:paraId="510DE68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1D5150F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2</w:t>
      </w:r>
    </w:p>
    <w:p w14:paraId="539CB72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Math 132 - but this assessment is tied to all courses and all Program outcomes - the form just doesn't allow for that</w:t>
      </w:r>
    </w:p>
    <w:p w14:paraId="3E2A2FD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We have a 19 point gap in 2.0 or higher success rates for Hispanic students vs. white students in online classes.  In Hybrid classes that gap is 6%.  Several other factors have been removed from this data so it does not reflect issues addressed since the end of 2024 AY.</w:t>
      </w:r>
    </w:p>
    <w:p w14:paraId="73798C6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190BB0E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w:t>
      </w:r>
      <w:r w:rsidRPr="001F4245">
        <w:rPr>
          <w:rFonts w:cstheme="minorHAnsi"/>
          <w:noProof/>
        </w:rPr>
        <w:tab/>
        <w:t>We surveyed for student input on F2F methods that are especially helpful to their success. This assessment will be a two year process as this year we are implementing some F2F classes and plan to see which portions of those classes are helpful and could be modified to be included in online classes.  The resulting data will drive changes for the 2025-2026 AY</w:t>
      </w:r>
      <w:r w:rsidRPr="00DE5B7E">
        <w:rPr>
          <w:rFonts w:asciiTheme="minorHAnsi" w:hAnsiTheme="minorHAnsi" w:cstheme="minorHAnsi"/>
          <w:sz w:val="22"/>
          <w:szCs w:val="22"/>
        </w:rPr>
        <w:t xml:space="preserve"> </w:t>
      </w:r>
    </w:p>
    <w:p w14:paraId="708E0FA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14FAE73D"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 xml:space="preserve">We surveyed students at the end of Spring quarter in Math 132 (f2f/hybrid model)  Here are the results: </w:t>
      </w:r>
    </w:p>
    <w:p w14:paraId="7885CEE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Overall Theme: In-Person Learning Helped Most Students Succeed</w:t>
      </w:r>
    </w:p>
    <w:p w14:paraId="406023A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What Helped Students Succeed:</w:t>
      </w:r>
    </w:p>
    <w:p w14:paraId="43458C1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Hands-on activities and manipulatives made math easier to understand.</w:t>
      </w:r>
    </w:p>
    <w:p w14:paraId="5E1B81C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Face-to-face explanations helped clarify confusing topics better than videos or readings.</w:t>
      </w:r>
    </w:p>
    <w:p w14:paraId="604E971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Peer discussions and small group work helped reinforce concepts and build confidence.</w:t>
      </w:r>
    </w:p>
    <w:p w14:paraId="420656F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Real-time Q&amp;A with the instructor made it easier to stay on track and get specific help.</w:t>
      </w:r>
    </w:p>
    <w:p w14:paraId="0843423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Exit tickets and practice problems in class were useful for memory and test prep.</w:t>
      </w:r>
    </w:p>
    <w:p w14:paraId="1750BEF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Visuals and step-by-step instruction supported students who identify as visual learners.</w:t>
      </w:r>
    </w:p>
    <w:p w14:paraId="0FBB6C1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 Social/Emotional Benefits:</w:t>
      </w:r>
    </w:p>
    <w:p w14:paraId="242E7E1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In-person class helped students overcome shyness and feel more comfortable asking questions.</w:t>
      </w:r>
    </w:p>
    <w:p w14:paraId="26A7A94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Many felt more motivated and accountable attending class weekly.</w:t>
      </w:r>
    </w:p>
    <w:p w14:paraId="09168EE5"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Hearing other students' questions provided reassurance and built a sense of shared struggle.</w:t>
      </w:r>
    </w:p>
    <w:p w14:paraId="4174A93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________________________________________</w:t>
      </w:r>
    </w:p>
    <w:p w14:paraId="338C0AB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Would Students Have Been Successful in an Online-Only Format?</w:t>
      </w:r>
    </w:p>
    <w:p w14:paraId="1E837AE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Most said no. Common reasons:</w:t>
      </w:r>
    </w:p>
    <w:p w14:paraId="350FA04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o</w:t>
      </w:r>
      <w:r w:rsidRPr="001F4245">
        <w:rPr>
          <w:rFonts w:cstheme="minorHAnsi"/>
          <w:noProof/>
        </w:rPr>
        <w:tab/>
        <w:t>Difficulty focusing or understanding the material alone.</w:t>
      </w:r>
    </w:p>
    <w:p w14:paraId="338496E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o</w:t>
      </w:r>
      <w:r w:rsidRPr="001F4245">
        <w:rPr>
          <w:rFonts w:cstheme="minorHAnsi"/>
          <w:noProof/>
        </w:rPr>
        <w:tab/>
        <w:t>Poor internet access at home.</w:t>
      </w:r>
    </w:p>
    <w:p w14:paraId="009D6D2B"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o</w:t>
      </w:r>
      <w:r w:rsidRPr="001F4245">
        <w:rPr>
          <w:rFonts w:cstheme="minorHAnsi"/>
          <w:noProof/>
        </w:rPr>
        <w:tab/>
        <w:t>Lack of direct interaction with the teacher and peers.</w:t>
      </w:r>
    </w:p>
    <w:p w14:paraId="3271B0E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A few students said they might have managed online, but preferred in-person for better engagement and comprehension.</w:t>
      </w:r>
    </w:p>
    <w:p w14:paraId="4E9CAD8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________________________________________</w:t>
      </w:r>
    </w:p>
    <w:p w14:paraId="6BB9823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 Notable Quotes:</w:t>
      </w:r>
    </w:p>
    <w:p w14:paraId="46C6929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"Face-to-face made the difference. I would have been lost watching just videos."</w:t>
      </w:r>
    </w:p>
    <w:p w14:paraId="4AF26D5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"The hands-on experience and being able to ask questions on the spot helped me understand."</w:t>
      </w:r>
    </w:p>
    <w:p w14:paraId="51589AA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"I don’t like watching lectures online — I wouldn’t have learned anything."</w:t>
      </w:r>
    </w:p>
    <w:p w14:paraId="4F3318B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"Sketch notes, group work, and having the teacher explain things were key to my success."</w:t>
      </w:r>
    </w:p>
    <w:p w14:paraId="764923D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6EEFC6E4"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Based on the results of the assessment, I am going to attempt the following in several classes:  </w:t>
      </w:r>
    </w:p>
    <w:p w14:paraId="7FADFB0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Implement Optional In-Person Study Groups Facilitated by bilingual student workers or peer tutors</w:t>
      </w:r>
    </w:p>
    <w:p w14:paraId="50854D6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Scheduled weekly with a clear focus (e.g., “Math Tuesday,” “ECE Discussion Hour”)</w:t>
      </w:r>
    </w:p>
    <w:p w14:paraId="24F687D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Incentivize participation with small extra credit or swag</w:t>
      </w:r>
    </w:p>
    <w:p w14:paraId="20C5F16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This action is dependent on the hiring of a bilingual student worker who is in year two to facilitate this</w:t>
      </w:r>
    </w:p>
    <w:p w14:paraId="64CB2CB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lastRenderedPageBreak/>
        <w:t>________________________________________</w:t>
      </w:r>
    </w:p>
    <w:p w14:paraId="617F9E6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2. Bilingual Peer Support Boards</w:t>
      </w:r>
    </w:p>
    <w:p w14:paraId="77ECD68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Set up informal Spanish-language discussion spaces in Canvas or Yellow for optional participation</w:t>
      </w:r>
    </w:p>
    <w:p w14:paraId="53EE84E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Use prompts that ask students to explain concepts or share strategies in either English or Spanish</w:t>
      </w:r>
    </w:p>
    <w:p w14:paraId="006CA08E"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Train bilingual student workers to monitor and encourage respectful, supportive interaction</w:t>
      </w:r>
    </w:p>
    <w:p w14:paraId="625821E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________________________________________</w:t>
      </w:r>
    </w:p>
    <w:p w14:paraId="6A189AB7"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3. Weekly "What Helped Me This Week" YD posts</w:t>
      </w:r>
    </w:p>
    <w:p w14:paraId="4CF44BF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Students record 1-minute videos explaining what strategy helped them the most</w:t>
      </w:r>
    </w:p>
    <w:p w14:paraId="5312919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Helps normalize challenges and build community asynchronously</w:t>
      </w:r>
    </w:p>
    <w:p w14:paraId="0A67AE9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Encourages metacognition and peer modeling</w:t>
      </w:r>
    </w:p>
    <w:p w14:paraId="46A27A5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4. This is an ongoing problem.  Students readily admit they perform better in face to face classes but also continue to enroll mostly in online classes.  We will continue to try various strategies to close the achievement gap for hispanic students in online classes</w:t>
      </w:r>
    </w:p>
    <w:p w14:paraId="623BB25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p>
    <w:p w14:paraId="05578171"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090D6F7F"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637B0B64" w14:textId="28552B3C"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Math Department</w:t>
      </w:r>
    </w:p>
    <w:p w14:paraId="0270D44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Quantitative Reasoning</w:t>
      </w:r>
    </w:p>
    <w:p w14:paraId="3D8C25D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2</w:t>
      </w:r>
    </w:p>
    <w:p w14:paraId="4494B3F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Math 99 and Math 141, We focused on success rate overall in the transition from 99 to 141, more program outcome</w:t>
      </w:r>
    </w:p>
    <w:p w14:paraId="17C8520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We will consider how race and gender play into successful transition from MATH 099 to MATH 141.</w:t>
      </w:r>
    </w:p>
    <w:p w14:paraId="7AFF03A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243CBB5F"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We were interested in student success in MATH&amp;141 after taking the redesigned MATH 099 (or 099X) course that did not have a MATH 98 prerequisite. We requested data from IR to break down MATH 141 students who completed MATH 099, including data sorted by race and gender. We compared data from the 2022–2023 academic year (Fall, Winter, Spring) to Fall and Winter data from the 2024–2025 academic year. We excluded 2023–2024 data to ensure maximal cleanliness of our data. </w:t>
      </w:r>
    </w:p>
    <w:p w14:paraId="48ECF5E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We updated MATH 99 curriculum in the summer of 2023, after our first data set and before our second data set. We obtained this data from Institutional Research &amp; Planning on pass rates for MATH&amp;141 for students who previously completed MATH 99 at a 2.0 level.</w:t>
      </w:r>
    </w:p>
    <w:p w14:paraId="45A2FA0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We changed the scope and sequence of MATH 99 in hopes of increasing success rates across the board. We added additional support with more videos along with concomitant summary and reflection questions in pre-made notes. We hope that these changes will foster higher thinking during lectures.</w:t>
      </w:r>
      <w:r w:rsidRPr="00DE5B7E">
        <w:rPr>
          <w:rFonts w:asciiTheme="minorHAnsi" w:hAnsiTheme="minorHAnsi" w:cstheme="minorHAnsi"/>
          <w:sz w:val="22"/>
          <w:szCs w:val="22"/>
        </w:rPr>
        <w:t xml:space="preserve"> </w:t>
      </w:r>
    </w:p>
    <w:p w14:paraId="185DFD1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68C21C9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Success rates went from 37.5% to 36% which is not a significant change indicating the change implemented in the summer of 23 had no statistically significant impact on student success rate.  Comparing gender and race revealed no significant changes in terms of equity gaps.</w:t>
      </w:r>
      <w:r w:rsidRPr="00DE5B7E">
        <w:rPr>
          <w:rFonts w:asciiTheme="minorHAnsi" w:hAnsiTheme="minorHAnsi" w:cstheme="minorHAnsi"/>
          <w:sz w:val="22"/>
          <w:szCs w:val="22"/>
        </w:rPr>
        <w:t xml:space="preserve"> </w:t>
      </w:r>
    </w:p>
    <w:p w14:paraId="79CF9528"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These results suggest that the issue lies not with our curriculum but with the emporium model itself, specifically as our student body has evolved since its implementation.  Long term data suggests that since Covid the emporium model is not adequately serving students.  </w:t>
      </w:r>
    </w:p>
    <w:p w14:paraId="2B9A2A9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Starting in 25-26 we are piloting a live lecture version of all pre-college math courses in response to this year’s assessment data and student feedback and in hopes to meet students where they are at and form better student teacher relationships.  ESCALA training emphasized being asset minded and playing to common strengths of Latino students responding well to relationships that can form in the traditional classroom setting, both peer to peer and teacher to student.</w:t>
      </w:r>
    </w:p>
    <w:p w14:paraId="54610E3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We have been allowed to pilot the in-person lecture next year and we hope the college continues to support us in change to help student engagement and success.  As potential class changes need to be made it might be helpful to have access to curriculum stipends that would help student success.</w:t>
      </w:r>
    </w:p>
    <w:p w14:paraId="6A81F172"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161898A7"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48A50A45" w14:textId="6FF7BE6A"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John Owens</w:t>
      </w:r>
    </w:p>
    <w:p w14:paraId="7E87DD7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3D482DB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150EBFB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MUSC 134, Beginning Group Guitar</w:t>
      </w:r>
    </w:p>
    <w:p w14:paraId="71DCA69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This assessment focused on musical communication. Specifically, using a blues progression and scale, students applied melodic and harmonic structures to demonstrate blues form and create improvised solos within specified parameters. This was done in a group setting (jam session) with a focus on students ability to communicate musically through improvisation.</w:t>
      </w:r>
    </w:p>
    <w:p w14:paraId="38EFDF0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654BBFD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After students had a solid grasp on the fundamentals of playing the guitar, they were provided the melodic (scales), harmonic (chords), and rhythmic tools to play the blues and improvise. Once the musical core was established, students were given a pre-test to see how they musically communicated in a "jam session." Over the next 6 weeks students were guided through a method that added one note per session to use for improvisation, which focused on rhythmic ideas and playing "the right" notes and "rhythmically responding." At the end of this instruction (treatment) students took a post-test focused on their musical communication and improvisation.</w:t>
      </w:r>
      <w:r w:rsidRPr="00DE5B7E">
        <w:rPr>
          <w:rFonts w:asciiTheme="minorHAnsi" w:hAnsiTheme="minorHAnsi" w:cstheme="minorHAnsi"/>
          <w:sz w:val="22"/>
          <w:szCs w:val="22"/>
        </w:rPr>
        <w:t xml:space="preserve"> </w:t>
      </w:r>
    </w:p>
    <w:p w14:paraId="260CADE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4F78FD6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While the intention was to give the students a strong foundation of the blues rudiments prior to improvisation, students mastered the fundamentals over time and through repetition. Regarding the one note at a time approach to blues improvisation on the guitar, this seemed to work very well. During the pretest 14% of the students were able to improvise and communicate musically based on the blues structure and 42% of students could improvise at a nascent level, but not really communicate fluidly. After the treatment and the time of the post test, 92% of the students were able to improvise within specified parameters and 85% were able to communicate musically, which means to improvise and rhythmically interact within the blues structure (progression, strumming patterns, rhythms, etc.).</w:t>
      </w:r>
      <w:r w:rsidRPr="00DE5B7E">
        <w:rPr>
          <w:rFonts w:asciiTheme="minorHAnsi" w:hAnsiTheme="minorHAnsi" w:cstheme="minorHAnsi"/>
          <w:sz w:val="22"/>
          <w:szCs w:val="22"/>
        </w:rPr>
        <w:t xml:space="preserve"> </w:t>
      </w:r>
    </w:p>
    <w:p w14:paraId="6F9DCA2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The note-by-note approach to musical communication within the blues form and improvisation worked well. Almost all students in the class were able to improvise to some degree and most (85%) were able to hold a musical conversation and not just go through the changes and scales at a beginning level. While these results were good, I believe the improvisation skills can be started on day one and taught simultaneously with other fundamental aspects, such as chords, note reading, scales, and so on, as this was how students learned anyway. While the idea was to have students learn the guitar basics, then improvise (how improvisation is traditionally taught), they seemed to learn it as they were still mastering the fundamentals of the instrument. In response, the next step will be to start improvisation on day and treat it like all the other skills on the guitar.</w:t>
      </w:r>
    </w:p>
    <w:p w14:paraId="7366AFB3"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456F5299"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5AC09910" w14:textId="2711DDA9"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Katherine Christian</w:t>
      </w:r>
    </w:p>
    <w:p w14:paraId="29BCE0B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4E05A78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2</w:t>
      </w:r>
    </w:p>
    <w:p w14:paraId="49F8676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none</w:t>
      </w:r>
    </w:p>
    <w:p w14:paraId="59A34B8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The Medical Assistant program has struggled with enrollment and retention for several years.  One of the identified issues was the length of the clinical program and lack of readiness for the courses.</w:t>
      </w:r>
    </w:p>
    <w:p w14:paraId="68948E7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26298B8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We met with employers and students to identify concerns</w:t>
      </w:r>
      <w:r w:rsidRPr="00DE5B7E">
        <w:rPr>
          <w:rFonts w:asciiTheme="minorHAnsi" w:hAnsiTheme="minorHAnsi" w:cstheme="minorHAnsi"/>
          <w:sz w:val="22"/>
          <w:szCs w:val="22"/>
        </w:rPr>
        <w:t xml:space="preserve"> </w:t>
      </w:r>
    </w:p>
    <w:p w14:paraId="22DB556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5368E8B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Lack of success in HED support courses made it difficult for students to progress in the program;  Friday classes were a barrier for many students</w:t>
      </w:r>
      <w:r w:rsidRPr="00DE5B7E">
        <w:rPr>
          <w:rFonts w:asciiTheme="minorHAnsi" w:hAnsiTheme="minorHAnsi" w:cstheme="minorHAnsi"/>
          <w:sz w:val="22"/>
          <w:szCs w:val="22"/>
        </w:rPr>
        <w:t xml:space="preserve"> </w:t>
      </w:r>
    </w:p>
    <w:p w14:paraId="7AB4EEE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If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with 23-24, the curriculum was revamped to put Medical Terminology and the HED 121 as pre-requisite courses;  we also combined MA 111 with 112 and renumbered as 115, revised 113 and renamed as 114 so that students had only two clinical courses after the prerequisites. We moved the courses to Saturday rather than Fridays.  While enrollment was still lower than desired, retention was improved;  90% of students enrolled in MA 115 completed 116 as well.  We want to continue these changes and work at improving the pipeline through HED 119 and 121.</w:t>
      </w:r>
    </w:p>
    <w:p w14:paraId="1F395C38"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76938B29"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154E944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Emily Eidson</w:t>
      </w:r>
    </w:p>
    <w:p w14:paraId="029BA00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2757929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4</w:t>
      </w:r>
    </w:p>
    <w:p w14:paraId="659EDD4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NUR 135, Nursing Skills Lab I, Course Outcome 5) Demonstrate safe medication administration procedures for a variety of routes.</w:t>
      </w:r>
    </w:p>
    <w:p w14:paraId="1A9CEA4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In this course in Fall 2023, faculty noted that several students did not pass the medication administration check-off on their first attempt. In fall of 2023, only 70% of students passed the medication administration skills check-off on the first attempt. Historically, this lab has had a poor first-time pass rate, with only 48% of students passing the medication administration skills check off on the first attempt in Fall of 2022. Faculty determined that action needs to be taken to improve this initial pass rate.</w:t>
      </w:r>
    </w:p>
    <w:p w14:paraId="10D38F3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1F28FA88"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 xml:space="preserve">For our assessment activity, faculty wanted to determine if they could make changes to the preparation for this lab to improve the first-time pass rate for the medication administration skills check lab. Faculty added one more practice day to the skills lab schedule. The focus of the extra practice day was to have students practice recalling and communicating important information about each medication to the patient as they administered medications, which is an expectation in the skills check off and consistent with the patient’s right to education about the medication as well as in alignment with safe medication administration practices. </w:t>
      </w:r>
    </w:p>
    <w:p w14:paraId="022001E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In addition, faculty delayed this skills lab by one week later in the quarter. Faculty discussed that student success could be impacted by the demanding schedule that students encounter during fall quarter of their first year in the program. Therefore, delaying the medication administration lab and skills check seemed reasonable to try to improve both student success on the medication administration skills check as well as overall attrition rates. </w:t>
      </w:r>
    </w:p>
    <w:p w14:paraId="20F6EF1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3C3F00D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58107E3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The medication administration skills check had a success rate of 69.5% on the first attempt. This is a slight decrease from 70% the year prior. Therefore, it seems that adding an extra day of practice and delaying this lab and skills check by one week did not seem to impact student success in this skills check.</w:t>
      </w:r>
      <w:r w:rsidRPr="00DE5B7E">
        <w:rPr>
          <w:rFonts w:asciiTheme="minorHAnsi" w:hAnsiTheme="minorHAnsi" w:cstheme="minorHAnsi"/>
          <w:sz w:val="22"/>
          <w:szCs w:val="22"/>
        </w:rPr>
        <w:t xml:space="preserve"> </w:t>
      </w:r>
    </w:p>
    <w:p w14:paraId="0BC6E7B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If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After discussing results of the assessment in our faculty meeting, we intend to keep the extra practice day and delayed schedule to see if it will help future cohorts, recognizing that each cohort of students is unique and therefore if would be helpful to assess any potential impact over several years. In addition, faculty have discussed adding additional pre-work in which students practice providing patient education on the medications they may see during their skills check.</w:t>
      </w:r>
    </w:p>
    <w:p w14:paraId="4C0CE888"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26418AAA"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3B716CC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Emily Eidson</w:t>
      </w:r>
    </w:p>
    <w:p w14:paraId="09660F8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2B6E07E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4</w:t>
      </w:r>
    </w:p>
    <w:p w14:paraId="373217A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NUR 235, Nursing Skills Lab IV, Course Outcome 6) Apply critical thinking to selected scenarios.</w:t>
      </w:r>
    </w:p>
    <w:p w14:paraId="17C29A1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Level 2 students are expected to utilize their assessment skills and clinical judgment to determine appropriate interventions for select patient scenarios as part of their skills checks. In fall of 2024, students were noted to have difficulty utilizing assessment and clinical judgment to determine appropriate interventions for patients in selected scenarios. Students are required to pass a skills check on previously learned level 1 skills. However, rather than just perform the skill, students are provided a patient scenario in which they must assess the patient, determine the concept of concern based on their assessment findings, communicate findings to the provider, and then perform the skill as instructed. Students were noted by faculty to have difficulty utilizing assessment skills in this skills check, and rather were very focused on the task only instead of the assessment that leads to the task. In fall of 2024, only 82% of level 2 students passed their level 1 skills check on the first attempt. With this data and the noted task-oriented mindset of students who did not pass on the first attempt, faculty determined that level 1 students should receive specific instruction in spring quarter to better prepare them for the assessment-based format of level 2 skills checks. The hope is that students will be better prepared to utilize assessment data to determine appropriate tasks in their skills check of level 1 skills in the fall quarter of second year.</w:t>
      </w:r>
    </w:p>
    <w:p w14:paraId="1F9D58B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726041F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With this data and the noted task-oriented mindset of students who did not pass on the first attempt, faculty determined that level 1 students should receive specific instruction in spring quarter to better prepare them for the assessment-based format of level 2 skills checks. The hope is that students will be better prepared to utilize assessment data to determine appropriate tasks in their skills check of level 1 skills in the fall quarter of second year. Therefore, faculty implemented a new skills lab in NUR 137 in which level 1 students are introduced to the format that will be utilized for level 2 skills checks. Students were provided a patient scenario, asked to perform an assessment, determined concepts of concern with guidance from faculty, and then communicated their findings to the “provider” (aka the faculty member). At the end of lab, faculty debriefed with students to review expected assessment process and actions, as well as review the expectations in level 2 skills checks. By doing this, we are hopefully better preparing students for success in NUR 235 skills checks in their second year.</w:t>
      </w:r>
      <w:r w:rsidRPr="00DE5B7E">
        <w:rPr>
          <w:rFonts w:asciiTheme="minorHAnsi" w:hAnsiTheme="minorHAnsi" w:cstheme="minorHAnsi"/>
          <w:sz w:val="22"/>
          <w:szCs w:val="22"/>
        </w:rPr>
        <w:t xml:space="preserve"> </w:t>
      </w:r>
    </w:p>
    <w:p w14:paraId="71CF550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39FDE5A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Since our classes are only running once a year, we have yet to see the impact of the changes made in NUR 137 on the success rate of the level 1 skills check in NUR 235. We will monitor the success rate on the first attempt at passing the level 1 skills check and determine next steps at our December 2025 faculty meeting.</w:t>
      </w:r>
      <w:r w:rsidRPr="00DE5B7E">
        <w:rPr>
          <w:rFonts w:asciiTheme="minorHAnsi" w:hAnsiTheme="minorHAnsi" w:cstheme="minorHAnsi"/>
          <w:sz w:val="22"/>
          <w:szCs w:val="22"/>
        </w:rPr>
        <w:t xml:space="preserve"> </w:t>
      </w:r>
    </w:p>
    <w:p w14:paraId="5C60181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Since we have yet to see the effects of our assessment activity, we do not plan to make any further changes at this time. However, faculty does plan to add a simulation for level 1 students in their fall quarter that focuses on utilizing their assessment skills. We hope that this continued focus on building assessment skills in level 1 students will have an impact on the success of level 2 students in their skills checks and beyond.</w:t>
      </w:r>
    </w:p>
    <w:p w14:paraId="1EC34BF1"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45450F47"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0567EF8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Dennis Knepp</w:t>
      </w:r>
    </w:p>
    <w:p w14:paraId="7F5C2A7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0DD5E1B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6140CBD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PHIL210 Ethics, course outcome 4: Evaluate important topics in a philosophical manner</w:t>
      </w:r>
    </w:p>
    <w:p w14:paraId="0DDA122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I looked at the success gap between Hispanic students and overall in my PHIL210 Ethics course.</w:t>
      </w:r>
    </w:p>
    <w:p w14:paraId="01F79B2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1308862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Final grades as recorded in the Success Dashboard with success defined as 2.0 or better.</w:t>
      </w:r>
      <w:r w:rsidRPr="00DE5B7E">
        <w:rPr>
          <w:rFonts w:asciiTheme="minorHAnsi" w:hAnsiTheme="minorHAnsi" w:cstheme="minorHAnsi"/>
          <w:sz w:val="22"/>
          <w:szCs w:val="22"/>
        </w:rPr>
        <w:t xml:space="preserve"> </w:t>
      </w:r>
    </w:p>
    <w:p w14:paraId="490F759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711EF02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I looked at the success gap between Hispanic students and overall. Hispanic students Fall 2022 had a success rate of 70% compared to 87% overall and the class was a hybrid that met twice a week in the mornings. Hispanic students in Fall 2023 had an 80% success rate compared to the 95% overall and the course met twice a week in the afternoons. Fall 2024 the course met twice a week in the mornings and the Hispanic student success rate was 100% compared to the 96% overall.</w:t>
      </w:r>
      <w:r w:rsidRPr="00DE5B7E">
        <w:rPr>
          <w:rFonts w:asciiTheme="minorHAnsi" w:hAnsiTheme="minorHAnsi" w:cstheme="minorHAnsi"/>
          <w:sz w:val="22"/>
          <w:szCs w:val="22"/>
        </w:rPr>
        <w:t xml:space="preserve"> </w:t>
      </w:r>
    </w:p>
    <w:p w14:paraId="4AF0014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Based on the results of the assessment, I am going to  offer my philosophy seminar courses in the mornings.</w:t>
      </w:r>
    </w:p>
    <w:p w14:paraId="72FEEC1F"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38B55E65"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20F3095B" w14:textId="2FF88C80"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Samuel Shuman</w:t>
      </w:r>
    </w:p>
    <w:p w14:paraId="26BAB889"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None</w:t>
      </w:r>
    </w:p>
    <w:p w14:paraId="6446166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5</w:t>
      </w:r>
    </w:p>
    <w:p w14:paraId="6FD5E42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PHYS&amp;221 Engineering Physics I, [CO3]: Solve various problems using the problem-solving strategy of drawing a suitable diagram, listing the knowns and unknowns, deriving a proper equation, substituting for the given values, and obtaining a numerical value for the unknown.</w:t>
      </w:r>
    </w:p>
    <w:p w14:paraId="7B9D8BBE"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 xml:space="preserve">I want to address the inequity between running start and non-running start students in PHYS&amp;221. Last year, only 5/9 non-running start or former running start students achieved a 2.0 or better in PHYS&amp;221. By contrast, 9/10 running start students achieved a 2.0 or better. </w:t>
      </w:r>
    </w:p>
    <w:p w14:paraId="6606FC6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My hypothesis is that this difference in outcomes stems from non-running start students struggling in MATH&amp;151 (Calculus I), which is a corequisite and is often taken concurrently with PHYS&amp;221. This is supported by last year’s data. 8/13 running start students achieved a 2.0 or better in MATH&amp;151 last Fall, while only 3/12 of the rest of the students in the course achieved a 2.0 or better.</w:t>
      </w:r>
    </w:p>
    <w:p w14:paraId="350E939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0B404E2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This assessment focused on rewriting my homework assignments to make sure I evaluated students on skills beyond applied calculus and algebra. My intention was that students that are struggling with MATH&amp;151 should still have a way to show their understanding of physics concepts. To deemphasize calculations in the homework grade, some of the problems (called “Context-Rich Problems” in the syllabus) required students to be more in depth about how they set up the problem as well as requiring them to make sense of their answer by drawing on other resources or comparing to their own experiences. The additional setup evaluated in Context-Rich problems allowed me to evaluate CO3, while the requirement that students check that their answer is sensible evaluated PO5.</w:t>
      </w:r>
      <w:r w:rsidRPr="00DE5B7E">
        <w:rPr>
          <w:rFonts w:asciiTheme="minorHAnsi" w:hAnsiTheme="minorHAnsi" w:cstheme="minorHAnsi"/>
          <w:sz w:val="22"/>
          <w:szCs w:val="22"/>
        </w:rPr>
        <w:t xml:space="preserve"> </w:t>
      </w:r>
    </w:p>
    <w:p w14:paraId="3D0359F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449FB8EA"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 xml:space="preserve">There are several limitations in evaluating the effectiveness of this assessment that I would like to start with. First, I do not have access to information regarding whether specific students are running start or non-running start, so my analysis is limited to the students who have discussed that with me. Second, to my knowledge, the dashboard does not yet include data for the 24-25 academic year, so it is difficult to evaluate how this may have affected success rates in the course. Third, this is my first year at BBCC, which means there have been many changes from how the course was run last year; changes in success rates cannot be attributed to something as specific as how I structure my homework assignments. With those caveats out of the way, I will still attempt to draw some reasonable conclusions from my experience with context-rich problems.  </w:t>
      </w:r>
    </w:p>
    <w:p w14:paraId="3E85D4D4"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First, the context-rich problems have been a great way to evaluate student understanding. It forces them to make sense of their answers and relate the math they are doing to the physical phenomena that it represents. This is a very important part of doing physics, and I have been happy to students grow at this skill throughout the year.  </w:t>
      </w:r>
    </w:p>
    <w:p w14:paraId="2F42B17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Second, based on my anecdotal understanding of which students were in running start, the context-rich problems did not seem to close the equity gap in the way I had hoped. My non-running start students seemed to struggle significantly more with the context-rich problems than they did with standard calculation problems, which undermines my initial assumption that the gap might be explained by a difference in math-readiness between the two groups.</w:t>
      </w:r>
      <w:r w:rsidRPr="00DE5B7E">
        <w:rPr>
          <w:rFonts w:asciiTheme="minorHAnsi" w:hAnsiTheme="minorHAnsi" w:cstheme="minorHAnsi"/>
          <w:sz w:val="22"/>
          <w:szCs w:val="22"/>
        </w:rPr>
        <w:t xml:space="preserve"> </w:t>
      </w:r>
    </w:p>
    <w:p w14:paraId="2C9F0403"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 xml:space="preserve">I will definitely continue to use context-rich problems as an assessment tool next year. Sensemaking and good communication are important skills, and I am not willing to compromise on evaluating those skills. That being said, I may need to scaffold the context-rich problems a bit more at the beginning of the term to make sure they understand the expectations. </w:t>
      </w:r>
    </w:p>
    <w:p w14:paraId="45458087" w14:textId="2CD023B4" w:rsidR="00775F5E" w:rsidRPr="002A63A8" w:rsidRDefault="00775F5E" w:rsidP="002A63A8">
      <w:pPr>
        <w:pStyle w:val="paragraph"/>
        <w:spacing w:before="0" w:beforeAutospacing="0" w:after="0" w:afterAutospacing="0"/>
        <w:textAlignment w:val="baseline"/>
        <w:rPr>
          <w:rFonts w:asciiTheme="minorHAnsi" w:hAnsiTheme="minorHAnsi" w:cstheme="minorHAnsi"/>
          <w:sz w:val="22"/>
          <w:szCs w:val="22"/>
        </w:rPr>
      </w:pPr>
      <w:r w:rsidRPr="001F4245">
        <w:rPr>
          <w:rFonts w:cstheme="minorHAnsi"/>
          <w:noProof/>
        </w:rPr>
        <w:t>I will take some time and have discussions with colleagues about other ways to close this equity gap. I cannot think of any changes the college as a whole should consider at this time. However, I do not think the gap between running start and non-running start students is limited to physics and math, so it is worth considering what is contributing to this and how we can better support non-running start students.</w:t>
      </w:r>
      <w:r w:rsidRPr="00791FA3">
        <w:rPr>
          <w:rFonts w:ascii="Calibri" w:hAnsi="Calibri" w:cs="Calibri"/>
        </w:rPr>
        <w:t> </w:t>
      </w:r>
    </w:p>
    <w:p w14:paraId="166083A7"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0FA75186" w14:textId="58559F43"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Christopher Riley</w:t>
      </w:r>
    </w:p>
    <w:p w14:paraId="20EF297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1216A56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4</w:t>
      </w:r>
    </w:p>
    <w:p w14:paraId="09D34A5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POLS&amp;202: American Government</w:t>
      </w:r>
    </w:p>
    <w:p w14:paraId="09D7A5C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According to college data available on the BBCC Institutional Research Course Success Dashboard, an achievement gap exists between students who are over the age of 20, but younger than 24, and students who are younger than twenty years.  The younger cohort completes the course with 80% success rates while the older cohort completes with 63% success rates.  There is irony in this given that the majority of students enrolled in the course are Running Start and thus consider themselves too young to be involved in the political process.</w:t>
      </w:r>
    </w:p>
    <w:p w14:paraId="30FE8EC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30B8C5A2"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A research and discussion assignment tied to the course outcome in Yellowdig—a social-media-type discussion board.  This assignment will be used across two quarters with the second incorporating any necessary changes from the first attempt.</w:t>
      </w:r>
    </w:p>
    <w:p w14:paraId="3B82A10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In order to best demonstrate their understanding of political issues and institutions, it’s been our belief that students should be allowed to freely express their opinions based upon research.  The goal is to assist students in forming their political beliefs in a non-confrontational, non-judgmental arena in which they are encouraged to take risks and not simply provide the information they think their professors want to see.</w:t>
      </w:r>
    </w:p>
    <w:p w14:paraId="1D6981AF"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73A0EA1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7F426F0A"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To attempt to better engage the older students, the assignment asked that student relate their observations to recent US Supreme Court decisions which might have an impact upon themselves or members of their families.  What we discovered was that there was no discernable difference from one quarter to the next.  Students who responded directly to the discussion prompts included articles and videos to illustrate their opinions, and those who avoided the prompt tended to critique the Supreme Court roleplay taking place concurrently to the discussion.  In both cases, those students who were engaged were active in sufficient measure to achieve the points on offer for the assignment.  In Fall quarter 73 percent of the students participated fully in the discussion.  In the spring quarter, 46 percent participated fully.  Lesser numbers in both quarters either participated minimally or not at all.</w:t>
      </w:r>
    </w:p>
    <w:p w14:paraId="32AAD37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The main difference between the two quarters in terms of the assignment was that if the fall quarter, it arrived during the third week, and in the spring, students completed it during the eighth week.  Student enthusiasm in their courses and assignments can be impacted by the timing of those materials in relation to holidays, seasons, and the proximity of graduation.  They can also be impacted by class dynamics, which may be at issue in this case.  The spring quarter class was caught in a large-scale measure of cheating on quizzes by the professors in the fifth week of the quarter.  Following this, scores dropped generally as students adjusted to the stricter expectations for their online assignments.  Several also withdrew from the class.</w:t>
      </w:r>
    </w:p>
    <w:p w14:paraId="5E7E2C7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297C43E5"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Based on the results of the assessment, we are still unable to determine why students older than 20 years tend to perform worse than those younger than twenty.  The blunt reality is that faculty cannot legally request that students reveal their ages in order to perform an assessment of an achievement gap, any more than we could request any other demographic information listed in the available dashboard.  As a result, it was impossible to determine which students within the various age groups performed better on the assessment.  Additionally, the results of the single assessment—let’s call them assignments since that’s what they really are—are lumped into the course success number provided by the college’s data collection system.  As a result, there’s no way for faculty to be able to determine whether the individual assessment was successful in closing the achievement gap.  Other variables are at play which are not measured or recorded overtly, but which are included within the final course success numbers.  As a result, although changes are being made to the course, there is no way to know whether these will have the desired impact based upon the assessment datasets available to us.</w:t>
      </w:r>
    </w:p>
    <w:p w14:paraId="1F45754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lastRenderedPageBreak/>
        <w:t>Due to the nature of the information provided to faculty from the institutional research dashboard regarding student success, it’s impossible to be able to find correlation between an assessment assignment, achievement gaps identified by the dashboard, and the institutional or program outcomes.</w:t>
      </w:r>
    </w:p>
    <w:p w14:paraId="46B1949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The worthlessness of this approach was discussed at length in the department’s audit in 2024.  Although it appears the college is attempting to address some of the issues raised within those pages, the college appears unwilling to address the true problem—that its course success data is ineffective at assessing its institutional or program outcomes using the single-assignment/quarter, one-and-done system.</w:t>
      </w:r>
    </w:p>
    <w:p w14:paraId="259D3BB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Our recommendation to the college is that it hire an assessment professional whose job is to redesign the entire program—including how it relates to institutional outcomes, the college mission, and vision—and stop asking faculty to perform the impossible, to wit seeking to explain how a course grade average can explain an achievement gap in the ability of students to clearly communicate.  See—we closed the loop on that one!</w:t>
      </w:r>
    </w:p>
    <w:p w14:paraId="1C09C34A"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To put it more simply: the college needs to assess its assessment program to determine whether it’s really measuring what it thinks it measuring.  (hint—it’s not!)</w:t>
      </w:r>
    </w:p>
    <w:p w14:paraId="3D95AA8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As a suggestion—perhaps a better approach could be to develop a college-wide assessment program in which courses from across campus are chosen randomly, faculty are trained in the desired institutional outcome, and data collected on across the chosen course, rather than a single assignment or pre/post test.  These don’t measure student improvement levels or demonstrate the effectiveness of instruction within a particular outcome.  For example: if the outcome were “cultural humility,” faculty would be trained in what this means to different elements of the institution, and given opportunities to work together to develop methods of instruction which could be easily implemented across the chosen course over the length of an assigned year.  The datasets created would be based not on demographic dashboards tied to the overall success rates of a course without the ability to break that apart in meaningful fashion.  Instead, they would be reflective of an actual study performed across multiple quarters with faculty able to easily discern the results in a manner actually useful to the institution.</w:t>
      </w:r>
    </w:p>
    <w:p w14:paraId="31BAC85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Of course, this still leave the elephant in the room—how does a single course faithfully represent an entire department or program?</w:t>
      </w:r>
    </w:p>
    <w:p w14:paraId="5BA268A0" w14:textId="4FCA24BA" w:rsidR="00775F5E" w:rsidRPr="00791FA3" w:rsidRDefault="00775F5E" w:rsidP="00775F5E">
      <w:pPr>
        <w:pStyle w:val="paragraph"/>
        <w:spacing w:before="0" w:beforeAutospacing="0" w:after="0" w:afterAutospacing="0"/>
        <w:rPr>
          <w:rFonts w:ascii="Segoe UI" w:hAnsi="Segoe UI" w:cs="Segoe UI"/>
          <w:sz w:val="18"/>
          <w:szCs w:val="18"/>
        </w:rPr>
      </w:pPr>
    </w:p>
    <w:p w14:paraId="00949B72"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601C054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Suzanne Reilly</w:t>
      </w:r>
    </w:p>
    <w:p w14:paraId="2E04779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7C6C197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5A19ECF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SOC&amp;101, Students will be able to communicate clearly and effectively. Communicate sociological concepts, theories and findings through writing and speaking, follow appropriate norms of small group and classroom discussion interactions by listening to fellow students and responding respectfully.</w:t>
      </w:r>
    </w:p>
    <w:p w14:paraId="2FA531A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In previous quarters students had difficulty communicating effectively about sociological theory on assessments.</w:t>
      </w:r>
    </w:p>
    <w:p w14:paraId="6F6F812D"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23BB988E"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In Fall quarter, I will ask students to do peer review of group work in which I ask students to discuss sociological theory. Peer review will allow students to share a draft of an assignment related to sociological theory with a classmate and to get feedback on the clarity of their understanding of theory and their ability to communicate it through writing. I will conduct a comparative examination of student responses regarding theory on the midterm with their responses in Winter quarter.</w:t>
      </w:r>
      <w:r w:rsidRPr="00DE5B7E">
        <w:rPr>
          <w:rFonts w:asciiTheme="minorHAnsi" w:hAnsiTheme="minorHAnsi" w:cstheme="minorHAnsi"/>
          <w:sz w:val="22"/>
          <w:szCs w:val="22"/>
        </w:rPr>
        <w:t xml:space="preserve"> </w:t>
      </w:r>
    </w:p>
    <w:p w14:paraId="6ED8472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7A2E1BD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In Fall quarter, I had students review and evaluate each other’s written work on sociological theory in order to receive feedback on how their understandings of theory could be improved. In this activity students discussed the three major sociological theories and reviewed each other’s written work. In Winter quarter, I did not do this activity. For my assessment activity, I compared student responses from Fall and Winter on the same essay question on theory on the midterm. The responses to the essay question in the Fall were much better than in Winter.</w:t>
      </w:r>
      <w:r w:rsidRPr="00DE5B7E">
        <w:rPr>
          <w:rFonts w:asciiTheme="minorHAnsi" w:hAnsiTheme="minorHAnsi" w:cstheme="minorHAnsi"/>
          <w:sz w:val="22"/>
          <w:szCs w:val="22"/>
        </w:rPr>
        <w:t xml:space="preserve"> </w:t>
      </w:r>
    </w:p>
    <w:p w14:paraId="55EE4F4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Based on the results of the assessment, I am going to incorporate more peer review and discussion of concepts in my class. It appears that talking with peers and peer review of each other’s work helps to stimulate thinking and improves communication around these more abstract concepts.</w:t>
      </w:r>
    </w:p>
    <w:p w14:paraId="71BA9630"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1E20986A"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6383E06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Angela Waites</w:t>
      </w:r>
    </w:p>
    <w:p w14:paraId="55452E67"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Communication</w:t>
      </w:r>
    </w:p>
    <w:p w14:paraId="5A1214D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1</w:t>
      </w:r>
    </w:p>
    <w:p w14:paraId="02B6336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SPAN&amp; 121 SPAN I SPAN&amp; 122 SPAN II SPAN&amp; 123 SPANIII</w:t>
      </w:r>
    </w:p>
    <w:p w14:paraId="22DED235"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In Spanish, verb endings (conjugations) indicate a tense and subject.  In order to communicate one’s thoughts correctly, and to understand what others are trying to communicate, it is necessary to recognize and use these verb endings.  Some students of the language grasp this concept and these patterns more easily than others and are able to understand others, as well as communicate their thoughts. Other students do not gain an understanding of these concepts as quickly and therefore struggle to understand what others are saying to them as well as to communicate their own thoughts.</w:t>
      </w:r>
    </w:p>
    <w:p w14:paraId="59330249"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With this assessment, I am seeking to provide scaffolding throughout the quarter to help students recognize the conjugation patterns for Spanish verbs. </w:t>
      </w:r>
    </w:p>
    <w:p w14:paraId="14EBA2DB"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p>
    <w:p w14:paraId="2ED37A7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020DBE9D"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eop"/>
          <w:rFonts w:asciiTheme="minorHAnsi" w:hAnsiTheme="minorHAnsi" w:cstheme="minorHAnsi"/>
          <w:sz w:val="22"/>
          <w:szCs w:val="22"/>
        </w:rPr>
        <w:t> </w:t>
      </w:r>
      <w:r w:rsidRPr="001F4245">
        <w:rPr>
          <w:rFonts w:cstheme="minorHAnsi"/>
          <w:noProof/>
        </w:rPr>
        <w:t>•</w:t>
      </w:r>
      <w:r w:rsidRPr="001F4245">
        <w:rPr>
          <w:rFonts w:cstheme="minorHAnsi"/>
          <w:noProof/>
        </w:rPr>
        <w:tab/>
        <w:t>At the beginning, middle and end of Fall quarter, I gave a “pre-test/post-test” to students in SPAN 121 to assess students’ recognition of present and past tense verb endings. I did not provide any intervention to students during this quarter and any recognition of correct conjugations in the post-test came from common daily class observations.  Likewise, the same procedure was followed in SPAN 122 during Winter quarter.</w:t>
      </w:r>
    </w:p>
    <w:p w14:paraId="645633EC"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 xml:space="preserve"> In Winter quarter, I gave the same “pre-test/post-test” to students in SPAN 121.  However, I introduced intervention activities every two to three weeks that gave specific instruction on verb conjugations.</w:t>
      </w:r>
    </w:p>
    <w:p w14:paraId="5A12C8F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 xml:space="preserve"> In Spring quarter, I introduced the intervention activities to the SPAN 122 section. I then compared the scores of the pre- and post-test for SPAN 121 and SPAN 122 students to determine if the intervention activities improved verb conjugation recognition.</w:t>
      </w:r>
    </w:p>
    <w:p w14:paraId="1DB5841A"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5799AC64"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3D775517"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Style w:val="normaltextrun"/>
          <w:rFonts w:asciiTheme="minorHAnsi" w:hAnsiTheme="minorHAnsi" w:cstheme="minorHAnsi"/>
          <w:sz w:val="22"/>
          <w:szCs w:val="22"/>
        </w:rPr>
        <w:t>​</w:t>
      </w:r>
      <w:r w:rsidRPr="001F4245">
        <w:rPr>
          <w:rFonts w:cstheme="minorHAnsi"/>
          <w:noProof/>
        </w:rPr>
        <w:t>SPAN&amp; 121, Fall 2024 pre-test scores are as follows:</w:t>
      </w:r>
    </w:p>
    <w:p w14:paraId="2608284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50 students completed the the pre-test in the two SPAN&amp; 121 sections for Fall 2024;</w:t>
      </w:r>
    </w:p>
    <w:p w14:paraId="21FCF160"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the average score on the pre-test was 7.36/15, or a 49% average;</w:t>
      </w:r>
    </w:p>
    <w:p w14:paraId="7FC4A65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Post-test scores for students who continued on to SPAN&amp; 122 were 71% without intervention activities which was  22;</w:t>
      </w:r>
    </w:p>
    <w:p w14:paraId="362E8032"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SPAN&amp;121, Winter 2025 pre-test scores:</w:t>
      </w:r>
    </w:p>
    <w:p w14:paraId="30F8CC51"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Enrollment in SPAN&amp; 121 during Winter 2025 was much smaller than in Fall 2024 with only 11 students completing the pre-test. Average scores for these students was the same as the Fall 2024 average score: 49%;</w:t>
      </w:r>
    </w:p>
    <w:p w14:paraId="53C3043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Due to poor attendance, only 6 students were present to complete the post-test for this quarter. The average for the post-test for this section was 65%, a 16% increase from the post test.</w:t>
      </w:r>
    </w:p>
    <w:p w14:paraId="7B855BB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My interest in using this assessment tool was based on the past trends of enrollment in Spanish 121 through 123.  Generally, students who enrolled in Spanish 121 continued into Spanish 122 and Spanish 123.  I believed that would be continued during this academic year and I would be able to compare the scores on pre-tests and post-tests with the same students over the different quarters, with and without the intervention activities. My hope was to therefore be able to assess whether student comprehension of the grammatical concept of verb conjugation could improve with intervention activities over only the use of the current language acquisition methodology of TPRS. However, with the exception of very few students, the students who enrolled in SPAN&amp; 121 in Winter quarter did not enroll in SPAN&amp; 122 for Spring quarter so I was unable to adequately compare the learning from quarter to quarter.</w:t>
      </w:r>
    </w:p>
    <w:p w14:paraId="461C5BFD"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There was a significant improvement in pre-test (49%) and post-test scores (65%) in SPAN&amp; 121 for Winter 2025. I don’t believe, however, that the improvement can be seen as statistically significant due to the small number of students participating in the assessment for that class.</w:t>
      </w:r>
    </w:p>
    <w:p w14:paraId="4901D0F3"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 xml:space="preserve">There was a large number of students who did continue from SPAN&amp; 121 in Fall quarter 2024 to SPAN&amp; 122 in Winter quarter 2025.  I did not utilize the intervention activities with those students however, since that was </w:t>
      </w:r>
      <w:r w:rsidRPr="001F4245">
        <w:rPr>
          <w:rFonts w:cstheme="minorHAnsi"/>
          <w:noProof/>
        </w:rPr>
        <w:lastRenderedPageBreak/>
        <w:t xml:space="preserve">not part of the assessment plan. Interestingly, I did see a significant improvement from the scores on the pre-test (49%) to the post-test for these students (71%), without utilizing intervention activities, which would seem to indicate that student comprehension of common verb endings in present and past tense conjugations was absorbed even without the intervention activities. </w:t>
      </w:r>
    </w:p>
    <w:p w14:paraId="65B9E486"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*A side concern about this assessment tool is that there were heritage speaking students enrolled in all quarters who took the pre-test and post-test.  Due to their experience in the language, their scores (oftentimes 95-100%) skewed the percentage even higher on the pre-test.</w:t>
      </w:r>
    </w:p>
    <w:p w14:paraId="2780D84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sz w:val="22"/>
          <w:szCs w:val="22"/>
        </w:rPr>
        <w:t xml:space="preserve"> </w:t>
      </w:r>
    </w:p>
    <w:p w14:paraId="14F4D47D" w14:textId="77777777" w:rsidR="00775F5E" w:rsidRPr="001F4245" w:rsidRDefault="00775F5E" w:rsidP="00775F5E">
      <w:pPr>
        <w:pStyle w:val="paragraph"/>
        <w:spacing w:before="0" w:beforeAutospacing="0" w:after="0" w:afterAutospacing="0"/>
        <w:textAlignment w:val="baseline"/>
        <w:rPr>
          <w:rFonts w:cstheme="minorHAnsi"/>
          <w:noProof/>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w:t>
      </w:r>
      <w:r w:rsidRPr="001F4245">
        <w:rPr>
          <w:rFonts w:cstheme="minorHAnsi"/>
          <w:noProof/>
        </w:rPr>
        <w:tab/>
        <w:t>Based on the results of the assessment:</w:t>
      </w:r>
    </w:p>
    <w:p w14:paraId="0F886C98"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I would like to continue using similar intervention activities for hybrid courses as a supplement to in- class instructional methods. The intervention activities were useful for certain students who prefer this type of instruction. Additionally, many universities continue to focus on grammar centered instruction and continuing to utilize these types of activities will be a benefit to any students who choose to continue language courses if they transfer to a university. In the future however, I would ask students to self-select as heritage speakers and true first-time language learners so to that the results are more indicative of growth in comprehension.</w:t>
      </w:r>
    </w:p>
    <w:p w14:paraId="7FBACAFF" w14:textId="77777777" w:rsidR="00775F5E" w:rsidRPr="001F4245"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 xml:space="preserve">Will these results change the way you teach? Why or why not? Do the results confirm some aspect of your teaching? </w:t>
      </w:r>
    </w:p>
    <w:p w14:paraId="7DA78113" w14:textId="74504BF2" w:rsidR="00775F5E" w:rsidRPr="002A63A8" w:rsidRDefault="00775F5E" w:rsidP="00775F5E">
      <w:pPr>
        <w:pStyle w:val="paragraph"/>
        <w:spacing w:before="0" w:beforeAutospacing="0" w:after="0" w:afterAutospacing="0"/>
        <w:textAlignment w:val="baseline"/>
        <w:rPr>
          <w:rFonts w:cstheme="minorHAnsi"/>
          <w:noProof/>
        </w:rPr>
      </w:pPr>
      <w:r w:rsidRPr="001F4245">
        <w:rPr>
          <w:rFonts w:cstheme="minorHAnsi"/>
          <w:noProof/>
        </w:rPr>
        <w:t></w:t>
      </w:r>
      <w:r w:rsidRPr="001F4245">
        <w:rPr>
          <w:rFonts w:cstheme="minorHAnsi"/>
          <w:noProof/>
        </w:rPr>
        <w:tab/>
        <w:t>As mentioned above, I will continue to use the intervention activities as online content as a supplement to in-class instruction.  The results from the SPAN&amp; 121 Fall to the SPAN&amp; 122 Winter quarter does seem to indicate that the pedagogical methods used already in our Spanish courses (TPRS) is allowing students to naturally acquire the understanding of the verb conjugation patterns in Spanish.  I would really like to utilize this assessment tool again and see if there are similar results with future classes.</w:t>
      </w:r>
    </w:p>
    <w:p w14:paraId="4A154F3E"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2E8DDC62"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134C73C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lastRenderedPageBreak/>
        <w:t>Name</w:t>
      </w:r>
      <w:r w:rsidRPr="00DE5B7E">
        <w:rPr>
          <w:rStyle w:val="normaltextrun"/>
          <w:rFonts w:asciiTheme="minorHAnsi" w:hAnsiTheme="minorHAnsi" w:cstheme="minorHAnsi"/>
          <w:sz w:val="22"/>
          <w:szCs w:val="22"/>
        </w:rPr>
        <w:t xml:space="preserve">: </w:t>
      </w:r>
      <w:r w:rsidRPr="001F4245">
        <w:rPr>
          <w:rFonts w:cstheme="minorHAnsi"/>
          <w:noProof/>
        </w:rPr>
        <w:t>Shawn McDaniel</w:t>
      </w:r>
    </w:p>
    <w:p w14:paraId="77030491"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Institutional Outcome</w:t>
      </w:r>
      <w:r w:rsidRPr="00DE5B7E">
        <w:rPr>
          <w:rStyle w:val="normaltextrun"/>
          <w:rFonts w:asciiTheme="minorHAnsi" w:hAnsiTheme="minorHAnsi" w:cstheme="minorHAnsi"/>
          <w:sz w:val="22"/>
          <w:szCs w:val="22"/>
        </w:rPr>
        <w:t xml:space="preserve">: </w:t>
      </w:r>
      <w:r w:rsidRPr="001F4245">
        <w:rPr>
          <w:rFonts w:cstheme="minorHAnsi"/>
          <w:noProof/>
        </w:rPr>
        <w:t>Quantitative Reasoning</w:t>
      </w:r>
    </w:p>
    <w:p w14:paraId="49D31600"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Program Outcome</w:t>
      </w:r>
      <w:r w:rsidRPr="00DE5B7E">
        <w:rPr>
          <w:rStyle w:val="normaltextrun"/>
          <w:rFonts w:asciiTheme="minorHAnsi" w:hAnsiTheme="minorHAnsi" w:cstheme="minorHAnsi"/>
          <w:sz w:val="22"/>
          <w:szCs w:val="22"/>
        </w:rPr>
        <w:t>:</w:t>
      </w:r>
      <w:r w:rsidRPr="00DE5B7E">
        <w:rPr>
          <w:rFonts w:asciiTheme="minorHAnsi" w:hAnsiTheme="minorHAnsi" w:cstheme="minorHAnsi"/>
          <w:sz w:val="22"/>
          <w:szCs w:val="22"/>
        </w:rPr>
        <w:t xml:space="preserve"> </w:t>
      </w:r>
      <w:r w:rsidRPr="001F4245">
        <w:rPr>
          <w:rFonts w:cstheme="minorHAnsi"/>
          <w:noProof/>
        </w:rPr>
        <w:t>5</w:t>
      </w:r>
    </w:p>
    <w:p w14:paraId="41FFEA6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Course(s) and Outcome(s)</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r w:rsidRPr="00DE5B7E">
        <w:rPr>
          <w:rFonts w:asciiTheme="minorHAnsi" w:hAnsiTheme="minorHAnsi" w:cstheme="minorHAnsi"/>
          <w:sz w:val="22"/>
          <w:szCs w:val="22"/>
        </w:rPr>
        <w:t xml:space="preserve"> </w:t>
      </w:r>
      <w:r w:rsidRPr="001F4245">
        <w:rPr>
          <w:rFonts w:cstheme="minorHAnsi"/>
          <w:noProof/>
        </w:rPr>
        <w:t>WLD 151, WLD 206, WLD 207</w:t>
      </w:r>
    </w:p>
    <w:p w14:paraId="11D104B5"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What equity gap are you seeking to address AND what is the problem/concern you are attempting to resolve through this assessment?</w:t>
      </w:r>
      <w:r w:rsidRPr="00DE5B7E">
        <w:rPr>
          <w:rFonts w:asciiTheme="minorHAnsi" w:hAnsiTheme="minorHAnsi" w:cstheme="minorHAnsi"/>
          <w:b/>
          <w:bCs/>
          <w:sz w:val="22"/>
          <w:szCs w:val="22"/>
        </w:rPr>
        <w:br/>
      </w:r>
      <w:r w:rsidRPr="00DE5B7E">
        <w:rPr>
          <w:rStyle w:val="normaltextrun"/>
          <w:rFonts w:asciiTheme="minorHAnsi" w:hAnsiTheme="minorHAnsi" w:cstheme="minorHAnsi"/>
          <w:sz w:val="22"/>
          <w:szCs w:val="22"/>
        </w:rPr>
        <w:t>​</w:t>
      </w:r>
      <w:r w:rsidRPr="00DE5B7E">
        <w:rPr>
          <w:rStyle w:val="eop"/>
          <w:rFonts w:asciiTheme="minorHAnsi" w:hAnsiTheme="minorHAnsi" w:cstheme="minorHAnsi"/>
          <w:sz w:val="22"/>
          <w:szCs w:val="22"/>
        </w:rPr>
        <w:t> </w:t>
      </w:r>
      <w:r w:rsidRPr="001F4245">
        <w:rPr>
          <w:rFonts w:cstheme="minorHAnsi"/>
          <w:noProof/>
        </w:rPr>
        <w:t>Economically disadvantaged students show a lower success rates.  We are attempting to use additional resources and tools to assist with instruction.</w:t>
      </w:r>
    </w:p>
    <w:p w14:paraId="1AAE5492"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tools/measures did you use for your assessment (what did you do for your assessment and why)?</w:t>
      </w:r>
      <w:r w:rsidRPr="00DE5B7E">
        <w:rPr>
          <w:rStyle w:val="eop"/>
          <w:rFonts w:asciiTheme="minorHAnsi" w:hAnsiTheme="minorHAnsi" w:cstheme="minorHAnsi"/>
          <w:sz w:val="22"/>
          <w:szCs w:val="22"/>
        </w:rPr>
        <w:t> </w:t>
      </w:r>
    </w:p>
    <w:p w14:paraId="2CEF1D16"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eop"/>
          <w:rFonts w:asciiTheme="minorHAnsi" w:hAnsiTheme="minorHAnsi" w:cstheme="minorHAnsi"/>
          <w:sz w:val="22"/>
          <w:szCs w:val="22"/>
        </w:rPr>
        <w:t> </w:t>
      </w:r>
      <w:r w:rsidRPr="001F4245">
        <w:rPr>
          <w:rFonts w:cstheme="minorHAnsi"/>
          <w:noProof/>
        </w:rPr>
        <w:t>Pretest - post test</w:t>
      </w:r>
      <w:r w:rsidRPr="00DE5B7E">
        <w:rPr>
          <w:rFonts w:asciiTheme="minorHAnsi" w:hAnsiTheme="minorHAnsi" w:cstheme="minorHAnsi"/>
          <w:sz w:val="22"/>
          <w:szCs w:val="22"/>
        </w:rPr>
        <w:t xml:space="preserve"> </w:t>
      </w:r>
    </w:p>
    <w:p w14:paraId="6C3BA9BC"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b/>
          <w:bCs/>
          <w:sz w:val="22"/>
          <w:szCs w:val="22"/>
        </w:rPr>
        <w:t>What were the results of your assessment</w:t>
      </w:r>
      <w:r w:rsidRPr="00DE5B7E">
        <w:rPr>
          <w:rStyle w:val="normaltextrun"/>
          <w:rFonts w:asciiTheme="minorHAnsi" w:hAnsiTheme="minorHAnsi" w:cstheme="minorHAnsi"/>
          <w:sz w:val="22"/>
          <w:szCs w:val="22"/>
        </w:rPr>
        <w:t>? </w:t>
      </w:r>
      <w:r w:rsidRPr="00DE5B7E">
        <w:rPr>
          <w:rStyle w:val="eop"/>
          <w:rFonts w:asciiTheme="minorHAnsi" w:hAnsiTheme="minorHAnsi" w:cstheme="minorHAnsi"/>
          <w:sz w:val="22"/>
          <w:szCs w:val="22"/>
        </w:rPr>
        <w:t> </w:t>
      </w:r>
    </w:p>
    <w:p w14:paraId="47EB7BD8"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Style w:val="normaltextrun"/>
          <w:rFonts w:asciiTheme="minorHAnsi" w:hAnsiTheme="minorHAnsi" w:cstheme="minorHAnsi"/>
          <w:sz w:val="22"/>
          <w:szCs w:val="22"/>
        </w:rPr>
        <w:t>​</w:t>
      </w:r>
      <w:r w:rsidRPr="001F4245">
        <w:rPr>
          <w:rFonts w:cstheme="minorHAnsi"/>
          <w:noProof/>
        </w:rPr>
        <w:t>Adding additional resources and training helped increase the students' scores related to measured quantitative reasoning.</w:t>
      </w:r>
      <w:r w:rsidRPr="00DE5B7E">
        <w:rPr>
          <w:rFonts w:asciiTheme="minorHAnsi" w:hAnsiTheme="minorHAnsi" w:cstheme="minorHAnsi"/>
          <w:sz w:val="22"/>
          <w:szCs w:val="22"/>
        </w:rPr>
        <w:t xml:space="preserve"> </w:t>
      </w:r>
    </w:p>
    <w:p w14:paraId="2FFAF2B3" w14:textId="77777777" w:rsidR="00775F5E" w:rsidRPr="00DE5B7E" w:rsidRDefault="00775F5E" w:rsidP="00775F5E">
      <w:pPr>
        <w:pStyle w:val="paragraph"/>
        <w:spacing w:before="0" w:beforeAutospacing="0" w:after="0" w:afterAutospacing="0"/>
        <w:textAlignment w:val="baseline"/>
        <w:rPr>
          <w:rFonts w:asciiTheme="minorHAnsi" w:hAnsiTheme="minorHAnsi" w:cstheme="minorHAnsi"/>
          <w:sz w:val="22"/>
          <w:szCs w:val="22"/>
        </w:rPr>
      </w:pPr>
      <w:r w:rsidRPr="00DE5B7E">
        <w:rPr>
          <w:rFonts w:asciiTheme="minorHAnsi" w:hAnsiTheme="minorHAnsi" w:cstheme="minorHAnsi"/>
          <w:b/>
          <w:bCs/>
          <w:sz w:val="22"/>
          <w:szCs w:val="22"/>
        </w:rPr>
        <w:t xml:space="preserve">What now? How are you going to close the assessment loop or what changes are you making to your program </w:t>
      </w:r>
      <w:proofErr w:type="gramStart"/>
      <w:r w:rsidRPr="00DE5B7E">
        <w:rPr>
          <w:rFonts w:asciiTheme="minorHAnsi" w:hAnsiTheme="minorHAnsi" w:cstheme="minorHAnsi"/>
          <w:b/>
          <w:bCs/>
          <w:sz w:val="22"/>
          <w:szCs w:val="22"/>
        </w:rPr>
        <w:t>as a result of</w:t>
      </w:r>
      <w:proofErr w:type="gramEnd"/>
      <w:r w:rsidRPr="00DE5B7E">
        <w:rPr>
          <w:rFonts w:asciiTheme="minorHAnsi" w:hAnsiTheme="minorHAnsi" w:cstheme="minorHAnsi"/>
          <w:b/>
          <w:bCs/>
          <w:sz w:val="22"/>
          <w:szCs w:val="22"/>
        </w:rPr>
        <w:t xml:space="preserve"> this assessment? AND/OR </w:t>
      </w:r>
      <w:proofErr w:type="gramStart"/>
      <w:r w:rsidRPr="00DE5B7E">
        <w:rPr>
          <w:rFonts w:asciiTheme="minorHAnsi" w:hAnsiTheme="minorHAnsi" w:cstheme="minorHAnsi"/>
          <w:b/>
          <w:bCs/>
          <w:sz w:val="22"/>
          <w:szCs w:val="22"/>
        </w:rPr>
        <w:t>If</w:t>
      </w:r>
      <w:proofErr w:type="gramEnd"/>
      <w:r w:rsidRPr="00DE5B7E">
        <w:rPr>
          <w:rFonts w:asciiTheme="minorHAnsi" w:hAnsiTheme="minorHAnsi" w:cstheme="minorHAnsi"/>
          <w:b/>
          <w:bCs/>
          <w:sz w:val="22"/>
          <w:szCs w:val="22"/>
        </w:rPr>
        <w:t xml:space="preserve"> not addressed above, what changes or recommendations do you have for the college as a result of your assessment?</w:t>
      </w:r>
      <w:r w:rsidRPr="00DE5B7E">
        <w:rPr>
          <w:rFonts w:asciiTheme="minorHAnsi" w:hAnsiTheme="minorHAnsi" w:cstheme="minorHAnsi"/>
          <w:b/>
          <w:bCs/>
          <w:sz w:val="22"/>
          <w:szCs w:val="22"/>
        </w:rPr>
        <w:br/>
      </w:r>
      <w:r w:rsidRPr="00DE5B7E">
        <w:rPr>
          <w:rStyle w:val="eop"/>
          <w:rFonts w:asciiTheme="minorHAnsi" w:hAnsiTheme="minorHAnsi" w:cstheme="minorHAnsi"/>
          <w:sz w:val="22"/>
          <w:szCs w:val="22"/>
        </w:rPr>
        <w:t> </w:t>
      </w:r>
      <w:r w:rsidRPr="001F4245">
        <w:rPr>
          <w:rFonts w:cstheme="minorHAnsi"/>
          <w:noProof/>
        </w:rPr>
        <w:t>I plan to continue to provide additional resources and individualized assistance where appropriate.</w:t>
      </w:r>
    </w:p>
    <w:p w14:paraId="6937B780" w14:textId="77777777" w:rsidR="00775F5E" w:rsidRPr="00791FA3" w:rsidRDefault="00775F5E" w:rsidP="00775F5E">
      <w:pPr>
        <w:pStyle w:val="paragraph"/>
        <w:spacing w:before="0" w:beforeAutospacing="0" w:after="0" w:afterAutospacing="0"/>
        <w:rPr>
          <w:rFonts w:ascii="Segoe UI" w:hAnsi="Segoe UI" w:cs="Segoe UI"/>
          <w:sz w:val="18"/>
          <w:szCs w:val="18"/>
        </w:rPr>
      </w:pPr>
      <w:r w:rsidRPr="00791FA3">
        <w:rPr>
          <w:rFonts w:ascii="Calibri" w:hAnsi="Calibri" w:cs="Calibri"/>
        </w:rPr>
        <w:t> </w:t>
      </w:r>
    </w:p>
    <w:p w14:paraId="19878690" w14:textId="77777777" w:rsidR="00775F5E" w:rsidRDefault="00775F5E" w:rsidP="00775F5E">
      <w:pPr>
        <w:spacing w:after="0" w:line="240" w:lineRule="auto"/>
        <w:sectPr w:rsidR="00775F5E" w:rsidSect="00775F5E">
          <w:pgSz w:w="12240" w:h="15840"/>
          <w:pgMar w:top="720" w:right="720" w:bottom="720" w:left="720" w:header="720" w:footer="720" w:gutter="0"/>
          <w:pgNumType w:start="1"/>
          <w:cols w:space="720"/>
          <w:docGrid w:linePitch="360"/>
        </w:sectPr>
      </w:pPr>
    </w:p>
    <w:p w14:paraId="7F420CB6" w14:textId="77777777" w:rsidR="00775F5E" w:rsidRDefault="00775F5E" w:rsidP="00775F5E">
      <w:pPr>
        <w:spacing w:after="0" w:line="240" w:lineRule="auto"/>
      </w:pPr>
    </w:p>
    <w:sectPr w:rsidR="00775F5E" w:rsidSect="00775F5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9C9C"/>
    <w:multiLevelType w:val="hybridMultilevel"/>
    <w:tmpl w:val="FFFFFFFF"/>
    <w:lvl w:ilvl="0" w:tplc="4422291C">
      <w:start w:val="1"/>
      <w:numFmt w:val="bullet"/>
      <w:lvlText w:val="-"/>
      <w:lvlJc w:val="left"/>
      <w:pPr>
        <w:ind w:left="720" w:hanging="360"/>
      </w:pPr>
      <w:rPr>
        <w:rFonts w:ascii="Aptos" w:hAnsi="Aptos" w:hint="default"/>
      </w:rPr>
    </w:lvl>
    <w:lvl w:ilvl="1" w:tplc="6B565EE4">
      <w:start w:val="1"/>
      <w:numFmt w:val="bullet"/>
      <w:lvlText w:val="o"/>
      <w:lvlJc w:val="left"/>
      <w:pPr>
        <w:ind w:left="1440" w:hanging="360"/>
      </w:pPr>
      <w:rPr>
        <w:rFonts w:ascii="Courier New" w:hAnsi="Courier New" w:hint="default"/>
      </w:rPr>
    </w:lvl>
    <w:lvl w:ilvl="2" w:tplc="A79C8212">
      <w:start w:val="1"/>
      <w:numFmt w:val="bullet"/>
      <w:lvlText w:val=""/>
      <w:lvlJc w:val="left"/>
      <w:pPr>
        <w:ind w:left="2160" w:hanging="360"/>
      </w:pPr>
      <w:rPr>
        <w:rFonts w:ascii="Wingdings" w:hAnsi="Wingdings" w:hint="default"/>
      </w:rPr>
    </w:lvl>
    <w:lvl w:ilvl="3" w:tplc="6228378A">
      <w:start w:val="1"/>
      <w:numFmt w:val="bullet"/>
      <w:lvlText w:val=""/>
      <w:lvlJc w:val="left"/>
      <w:pPr>
        <w:ind w:left="2880" w:hanging="360"/>
      </w:pPr>
      <w:rPr>
        <w:rFonts w:ascii="Symbol" w:hAnsi="Symbol" w:hint="default"/>
      </w:rPr>
    </w:lvl>
    <w:lvl w:ilvl="4" w:tplc="384C308E">
      <w:start w:val="1"/>
      <w:numFmt w:val="bullet"/>
      <w:lvlText w:val="o"/>
      <w:lvlJc w:val="left"/>
      <w:pPr>
        <w:ind w:left="3600" w:hanging="360"/>
      </w:pPr>
      <w:rPr>
        <w:rFonts w:ascii="Courier New" w:hAnsi="Courier New" w:hint="default"/>
      </w:rPr>
    </w:lvl>
    <w:lvl w:ilvl="5" w:tplc="2F16D716">
      <w:start w:val="1"/>
      <w:numFmt w:val="bullet"/>
      <w:lvlText w:val=""/>
      <w:lvlJc w:val="left"/>
      <w:pPr>
        <w:ind w:left="4320" w:hanging="360"/>
      </w:pPr>
      <w:rPr>
        <w:rFonts w:ascii="Wingdings" w:hAnsi="Wingdings" w:hint="default"/>
      </w:rPr>
    </w:lvl>
    <w:lvl w:ilvl="6" w:tplc="15A6F444">
      <w:start w:val="1"/>
      <w:numFmt w:val="bullet"/>
      <w:lvlText w:val=""/>
      <w:lvlJc w:val="left"/>
      <w:pPr>
        <w:ind w:left="5040" w:hanging="360"/>
      </w:pPr>
      <w:rPr>
        <w:rFonts w:ascii="Symbol" w:hAnsi="Symbol" w:hint="default"/>
      </w:rPr>
    </w:lvl>
    <w:lvl w:ilvl="7" w:tplc="9D5AFA22">
      <w:start w:val="1"/>
      <w:numFmt w:val="bullet"/>
      <w:lvlText w:val="o"/>
      <w:lvlJc w:val="left"/>
      <w:pPr>
        <w:ind w:left="5760" w:hanging="360"/>
      </w:pPr>
      <w:rPr>
        <w:rFonts w:ascii="Courier New" w:hAnsi="Courier New" w:hint="default"/>
      </w:rPr>
    </w:lvl>
    <w:lvl w:ilvl="8" w:tplc="9C6A3FF0">
      <w:start w:val="1"/>
      <w:numFmt w:val="bullet"/>
      <w:lvlText w:val=""/>
      <w:lvlJc w:val="left"/>
      <w:pPr>
        <w:ind w:left="6480" w:hanging="360"/>
      </w:pPr>
      <w:rPr>
        <w:rFonts w:ascii="Wingdings" w:hAnsi="Wingdings" w:hint="default"/>
      </w:rPr>
    </w:lvl>
  </w:abstractNum>
  <w:abstractNum w:abstractNumId="1" w15:restartNumberingAfterBreak="0">
    <w:nsid w:val="114A5A7E"/>
    <w:multiLevelType w:val="hybridMultilevel"/>
    <w:tmpl w:val="FFFFFFFF"/>
    <w:lvl w:ilvl="0" w:tplc="B2145C40">
      <w:start w:val="1"/>
      <w:numFmt w:val="bullet"/>
      <w:lvlText w:val="-"/>
      <w:lvlJc w:val="left"/>
      <w:pPr>
        <w:ind w:left="720" w:hanging="360"/>
      </w:pPr>
      <w:rPr>
        <w:rFonts w:ascii="Aptos" w:hAnsi="Aptos" w:hint="default"/>
      </w:rPr>
    </w:lvl>
    <w:lvl w:ilvl="1" w:tplc="954E719E">
      <w:start w:val="1"/>
      <w:numFmt w:val="bullet"/>
      <w:lvlText w:val="o"/>
      <w:lvlJc w:val="left"/>
      <w:pPr>
        <w:ind w:left="1440" w:hanging="360"/>
      </w:pPr>
      <w:rPr>
        <w:rFonts w:ascii="Courier New" w:hAnsi="Courier New" w:hint="default"/>
      </w:rPr>
    </w:lvl>
    <w:lvl w:ilvl="2" w:tplc="511C26C2">
      <w:start w:val="1"/>
      <w:numFmt w:val="bullet"/>
      <w:lvlText w:val=""/>
      <w:lvlJc w:val="left"/>
      <w:pPr>
        <w:ind w:left="2160" w:hanging="360"/>
      </w:pPr>
      <w:rPr>
        <w:rFonts w:ascii="Wingdings" w:hAnsi="Wingdings" w:hint="default"/>
      </w:rPr>
    </w:lvl>
    <w:lvl w:ilvl="3" w:tplc="59740844">
      <w:start w:val="1"/>
      <w:numFmt w:val="bullet"/>
      <w:lvlText w:val=""/>
      <w:lvlJc w:val="left"/>
      <w:pPr>
        <w:ind w:left="2880" w:hanging="360"/>
      </w:pPr>
      <w:rPr>
        <w:rFonts w:ascii="Symbol" w:hAnsi="Symbol" w:hint="default"/>
      </w:rPr>
    </w:lvl>
    <w:lvl w:ilvl="4" w:tplc="9A5E7D2C">
      <w:start w:val="1"/>
      <w:numFmt w:val="bullet"/>
      <w:lvlText w:val="o"/>
      <w:lvlJc w:val="left"/>
      <w:pPr>
        <w:ind w:left="3600" w:hanging="360"/>
      </w:pPr>
      <w:rPr>
        <w:rFonts w:ascii="Courier New" w:hAnsi="Courier New" w:hint="default"/>
      </w:rPr>
    </w:lvl>
    <w:lvl w:ilvl="5" w:tplc="66B250B2">
      <w:start w:val="1"/>
      <w:numFmt w:val="bullet"/>
      <w:lvlText w:val=""/>
      <w:lvlJc w:val="left"/>
      <w:pPr>
        <w:ind w:left="4320" w:hanging="360"/>
      </w:pPr>
      <w:rPr>
        <w:rFonts w:ascii="Wingdings" w:hAnsi="Wingdings" w:hint="default"/>
      </w:rPr>
    </w:lvl>
    <w:lvl w:ilvl="6" w:tplc="51D82FCA">
      <w:start w:val="1"/>
      <w:numFmt w:val="bullet"/>
      <w:lvlText w:val=""/>
      <w:lvlJc w:val="left"/>
      <w:pPr>
        <w:ind w:left="5040" w:hanging="360"/>
      </w:pPr>
      <w:rPr>
        <w:rFonts w:ascii="Symbol" w:hAnsi="Symbol" w:hint="default"/>
      </w:rPr>
    </w:lvl>
    <w:lvl w:ilvl="7" w:tplc="D8222D76">
      <w:start w:val="1"/>
      <w:numFmt w:val="bullet"/>
      <w:lvlText w:val="o"/>
      <w:lvlJc w:val="left"/>
      <w:pPr>
        <w:ind w:left="5760" w:hanging="360"/>
      </w:pPr>
      <w:rPr>
        <w:rFonts w:ascii="Courier New" w:hAnsi="Courier New" w:hint="default"/>
      </w:rPr>
    </w:lvl>
    <w:lvl w:ilvl="8" w:tplc="7E3C4A06">
      <w:start w:val="1"/>
      <w:numFmt w:val="bullet"/>
      <w:lvlText w:val=""/>
      <w:lvlJc w:val="left"/>
      <w:pPr>
        <w:ind w:left="6480" w:hanging="360"/>
      </w:pPr>
      <w:rPr>
        <w:rFonts w:ascii="Wingdings" w:hAnsi="Wingdings" w:hint="default"/>
      </w:rPr>
    </w:lvl>
  </w:abstractNum>
  <w:abstractNum w:abstractNumId="2" w15:restartNumberingAfterBreak="0">
    <w:nsid w:val="2150636F"/>
    <w:multiLevelType w:val="hybridMultilevel"/>
    <w:tmpl w:val="FFFFFFFF"/>
    <w:lvl w:ilvl="0" w:tplc="D5407E30">
      <w:start w:val="1"/>
      <w:numFmt w:val="bullet"/>
      <w:lvlText w:val="-"/>
      <w:lvlJc w:val="left"/>
      <w:pPr>
        <w:ind w:left="720" w:hanging="360"/>
      </w:pPr>
      <w:rPr>
        <w:rFonts w:ascii="Aptos" w:hAnsi="Aptos" w:hint="default"/>
      </w:rPr>
    </w:lvl>
    <w:lvl w:ilvl="1" w:tplc="8720783C">
      <w:start w:val="1"/>
      <w:numFmt w:val="bullet"/>
      <w:lvlText w:val="o"/>
      <w:lvlJc w:val="left"/>
      <w:pPr>
        <w:ind w:left="1440" w:hanging="360"/>
      </w:pPr>
      <w:rPr>
        <w:rFonts w:ascii="Courier New" w:hAnsi="Courier New" w:hint="default"/>
      </w:rPr>
    </w:lvl>
    <w:lvl w:ilvl="2" w:tplc="F878CB3C">
      <w:start w:val="1"/>
      <w:numFmt w:val="bullet"/>
      <w:lvlText w:val=""/>
      <w:lvlJc w:val="left"/>
      <w:pPr>
        <w:ind w:left="2160" w:hanging="360"/>
      </w:pPr>
      <w:rPr>
        <w:rFonts w:ascii="Wingdings" w:hAnsi="Wingdings" w:hint="default"/>
      </w:rPr>
    </w:lvl>
    <w:lvl w:ilvl="3" w:tplc="41302134">
      <w:start w:val="1"/>
      <w:numFmt w:val="bullet"/>
      <w:lvlText w:val=""/>
      <w:lvlJc w:val="left"/>
      <w:pPr>
        <w:ind w:left="2880" w:hanging="360"/>
      </w:pPr>
      <w:rPr>
        <w:rFonts w:ascii="Symbol" w:hAnsi="Symbol" w:hint="default"/>
      </w:rPr>
    </w:lvl>
    <w:lvl w:ilvl="4" w:tplc="25CEA5CE">
      <w:start w:val="1"/>
      <w:numFmt w:val="bullet"/>
      <w:lvlText w:val="o"/>
      <w:lvlJc w:val="left"/>
      <w:pPr>
        <w:ind w:left="3600" w:hanging="360"/>
      </w:pPr>
      <w:rPr>
        <w:rFonts w:ascii="Courier New" w:hAnsi="Courier New" w:hint="default"/>
      </w:rPr>
    </w:lvl>
    <w:lvl w:ilvl="5" w:tplc="3D76667C">
      <w:start w:val="1"/>
      <w:numFmt w:val="bullet"/>
      <w:lvlText w:val=""/>
      <w:lvlJc w:val="left"/>
      <w:pPr>
        <w:ind w:left="4320" w:hanging="360"/>
      </w:pPr>
      <w:rPr>
        <w:rFonts w:ascii="Wingdings" w:hAnsi="Wingdings" w:hint="default"/>
      </w:rPr>
    </w:lvl>
    <w:lvl w:ilvl="6" w:tplc="36F6F2B6">
      <w:start w:val="1"/>
      <w:numFmt w:val="bullet"/>
      <w:lvlText w:val=""/>
      <w:lvlJc w:val="left"/>
      <w:pPr>
        <w:ind w:left="5040" w:hanging="360"/>
      </w:pPr>
      <w:rPr>
        <w:rFonts w:ascii="Symbol" w:hAnsi="Symbol" w:hint="default"/>
      </w:rPr>
    </w:lvl>
    <w:lvl w:ilvl="7" w:tplc="D11CA58A">
      <w:start w:val="1"/>
      <w:numFmt w:val="bullet"/>
      <w:lvlText w:val="o"/>
      <w:lvlJc w:val="left"/>
      <w:pPr>
        <w:ind w:left="5760" w:hanging="360"/>
      </w:pPr>
      <w:rPr>
        <w:rFonts w:ascii="Courier New" w:hAnsi="Courier New" w:hint="default"/>
      </w:rPr>
    </w:lvl>
    <w:lvl w:ilvl="8" w:tplc="47829C44">
      <w:start w:val="1"/>
      <w:numFmt w:val="bullet"/>
      <w:lvlText w:val=""/>
      <w:lvlJc w:val="left"/>
      <w:pPr>
        <w:ind w:left="6480" w:hanging="360"/>
      </w:pPr>
      <w:rPr>
        <w:rFonts w:ascii="Wingdings" w:hAnsi="Wingdings" w:hint="default"/>
      </w:rPr>
    </w:lvl>
  </w:abstractNum>
  <w:abstractNum w:abstractNumId="3" w15:restartNumberingAfterBreak="0">
    <w:nsid w:val="23C014C8"/>
    <w:multiLevelType w:val="hybridMultilevel"/>
    <w:tmpl w:val="FFFFFFFF"/>
    <w:lvl w:ilvl="0" w:tplc="2D3848A2">
      <w:start w:val="1"/>
      <w:numFmt w:val="bullet"/>
      <w:lvlText w:val="-"/>
      <w:lvlJc w:val="left"/>
      <w:pPr>
        <w:ind w:left="720" w:hanging="360"/>
      </w:pPr>
      <w:rPr>
        <w:rFonts w:ascii="Aptos" w:hAnsi="Aptos" w:hint="default"/>
      </w:rPr>
    </w:lvl>
    <w:lvl w:ilvl="1" w:tplc="D478BF16">
      <w:start w:val="1"/>
      <w:numFmt w:val="bullet"/>
      <w:lvlText w:val="o"/>
      <w:lvlJc w:val="left"/>
      <w:pPr>
        <w:ind w:left="1440" w:hanging="360"/>
      </w:pPr>
      <w:rPr>
        <w:rFonts w:ascii="Courier New" w:hAnsi="Courier New" w:hint="default"/>
      </w:rPr>
    </w:lvl>
    <w:lvl w:ilvl="2" w:tplc="3CD4F032">
      <w:start w:val="1"/>
      <w:numFmt w:val="bullet"/>
      <w:lvlText w:val=""/>
      <w:lvlJc w:val="left"/>
      <w:pPr>
        <w:ind w:left="2160" w:hanging="360"/>
      </w:pPr>
      <w:rPr>
        <w:rFonts w:ascii="Wingdings" w:hAnsi="Wingdings" w:hint="default"/>
      </w:rPr>
    </w:lvl>
    <w:lvl w:ilvl="3" w:tplc="61CC2BFE">
      <w:start w:val="1"/>
      <w:numFmt w:val="bullet"/>
      <w:lvlText w:val=""/>
      <w:lvlJc w:val="left"/>
      <w:pPr>
        <w:ind w:left="2880" w:hanging="360"/>
      </w:pPr>
      <w:rPr>
        <w:rFonts w:ascii="Symbol" w:hAnsi="Symbol" w:hint="default"/>
      </w:rPr>
    </w:lvl>
    <w:lvl w:ilvl="4" w:tplc="37B6976E">
      <w:start w:val="1"/>
      <w:numFmt w:val="bullet"/>
      <w:lvlText w:val="o"/>
      <w:lvlJc w:val="left"/>
      <w:pPr>
        <w:ind w:left="3600" w:hanging="360"/>
      </w:pPr>
      <w:rPr>
        <w:rFonts w:ascii="Courier New" w:hAnsi="Courier New" w:hint="default"/>
      </w:rPr>
    </w:lvl>
    <w:lvl w:ilvl="5" w:tplc="C67C1C4C">
      <w:start w:val="1"/>
      <w:numFmt w:val="bullet"/>
      <w:lvlText w:val=""/>
      <w:lvlJc w:val="left"/>
      <w:pPr>
        <w:ind w:left="4320" w:hanging="360"/>
      </w:pPr>
      <w:rPr>
        <w:rFonts w:ascii="Wingdings" w:hAnsi="Wingdings" w:hint="default"/>
      </w:rPr>
    </w:lvl>
    <w:lvl w:ilvl="6" w:tplc="D46CE9DA">
      <w:start w:val="1"/>
      <w:numFmt w:val="bullet"/>
      <w:lvlText w:val=""/>
      <w:lvlJc w:val="left"/>
      <w:pPr>
        <w:ind w:left="5040" w:hanging="360"/>
      </w:pPr>
      <w:rPr>
        <w:rFonts w:ascii="Symbol" w:hAnsi="Symbol" w:hint="default"/>
      </w:rPr>
    </w:lvl>
    <w:lvl w:ilvl="7" w:tplc="E9D65FF8">
      <w:start w:val="1"/>
      <w:numFmt w:val="bullet"/>
      <w:lvlText w:val="o"/>
      <w:lvlJc w:val="left"/>
      <w:pPr>
        <w:ind w:left="5760" w:hanging="360"/>
      </w:pPr>
      <w:rPr>
        <w:rFonts w:ascii="Courier New" w:hAnsi="Courier New" w:hint="default"/>
      </w:rPr>
    </w:lvl>
    <w:lvl w:ilvl="8" w:tplc="08EA7BA4">
      <w:start w:val="1"/>
      <w:numFmt w:val="bullet"/>
      <w:lvlText w:val=""/>
      <w:lvlJc w:val="left"/>
      <w:pPr>
        <w:ind w:left="6480" w:hanging="360"/>
      </w:pPr>
      <w:rPr>
        <w:rFonts w:ascii="Wingdings" w:hAnsi="Wingdings" w:hint="default"/>
      </w:rPr>
    </w:lvl>
  </w:abstractNum>
  <w:abstractNum w:abstractNumId="4" w15:restartNumberingAfterBreak="0">
    <w:nsid w:val="348AE69A"/>
    <w:multiLevelType w:val="hybridMultilevel"/>
    <w:tmpl w:val="FFFFFFFF"/>
    <w:lvl w:ilvl="0" w:tplc="C660E37A">
      <w:start w:val="1"/>
      <w:numFmt w:val="bullet"/>
      <w:lvlText w:val="-"/>
      <w:lvlJc w:val="left"/>
      <w:pPr>
        <w:ind w:left="720" w:hanging="360"/>
      </w:pPr>
      <w:rPr>
        <w:rFonts w:ascii="Aptos" w:hAnsi="Aptos" w:hint="default"/>
      </w:rPr>
    </w:lvl>
    <w:lvl w:ilvl="1" w:tplc="7FDA4E44">
      <w:start w:val="1"/>
      <w:numFmt w:val="bullet"/>
      <w:lvlText w:val="o"/>
      <w:lvlJc w:val="left"/>
      <w:pPr>
        <w:ind w:left="1440" w:hanging="360"/>
      </w:pPr>
      <w:rPr>
        <w:rFonts w:ascii="Courier New" w:hAnsi="Courier New" w:hint="default"/>
      </w:rPr>
    </w:lvl>
    <w:lvl w:ilvl="2" w:tplc="02D619EA">
      <w:start w:val="1"/>
      <w:numFmt w:val="bullet"/>
      <w:lvlText w:val=""/>
      <w:lvlJc w:val="left"/>
      <w:pPr>
        <w:ind w:left="2160" w:hanging="360"/>
      </w:pPr>
      <w:rPr>
        <w:rFonts w:ascii="Wingdings" w:hAnsi="Wingdings" w:hint="default"/>
      </w:rPr>
    </w:lvl>
    <w:lvl w:ilvl="3" w:tplc="9F2E2F52">
      <w:start w:val="1"/>
      <w:numFmt w:val="bullet"/>
      <w:lvlText w:val=""/>
      <w:lvlJc w:val="left"/>
      <w:pPr>
        <w:ind w:left="2880" w:hanging="360"/>
      </w:pPr>
      <w:rPr>
        <w:rFonts w:ascii="Symbol" w:hAnsi="Symbol" w:hint="default"/>
      </w:rPr>
    </w:lvl>
    <w:lvl w:ilvl="4" w:tplc="BB80AFDE">
      <w:start w:val="1"/>
      <w:numFmt w:val="bullet"/>
      <w:lvlText w:val="o"/>
      <w:lvlJc w:val="left"/>
      <w:pPr>
        <w:ind w:left="3600" w:hanging="360"/>
      </w:pPr>
      <w:rPr>
        <w:rFonts w:ascii="Courier New" w:hAnsi="Courier New" w:hint="default"/>
      </w:rPr>
    </w:lvl>
    <w:lvl w:ilvl="5" w:tplc="7C1CB770">
      <w:start w:val="1"/>
      <w:numFmt w:val="bullet"/>
      <w:lvlText w:val=""/>
      <w:lvlJc w:val="left"/>
      <w:pPr>
        <w:ind w:left="4320" w:hanging="360"/>
      </w:pPr>
      <w:rPr>
        <w:rFonts w:ascii="Wingdings" w:hAnsi="Wingdings" w:hint="default"/>
      </w:rPr>
    </w:lvl>
    <w:lvl w:ilvl="6" w:tplc="CBA619A8">
      <w:start w:val="1"/>
      <w:numFmt w:val="bullet"/>
      <w:lvlText w:val=""/>
      <w:lvlJc w:val="left"/>
      <w:pPr>
        <w:ind w:left="5040" w:hanging="360"/>
      </w:pPr>
      <w:rPr>
        <w:rFonts w:ascii="Symbol" w:hAnsi="Symbol" w:hint="default"/>
      </w:rPr>
    </w:lvl>
    <w:lvl w:ilvl="7" w:tplc="89481FEE">
      <w:start w:val="1"/>
      <w:numFmt w:val="bullet"/>
      <w:lvlText w:val="o"/>
      <w:lvlJc w:val="left"/>
      <w:pPr>
        <w:ind w:left="5760" w:hanging="360"/>
      </w:pPr>
      <w:rPr>
        <w:rFonts w:ascii="Courier New" w:hAnsi="Courier New" w:hint="default"/>
      </w:rPr>
    </w:lvl>
    <w:lvl w:ilvl="8" w:tplc="67B6419A">
      <w:start w:val="1"/>
      <w:numFmt w:val="bullet"/>
      <w:lvlText w:val=""/>
      <w:lvlJc w:val="left"/>
      <w:pPr>
        <w:ind w:left="6480" w:hanging="360"/>
      </w:pPr>
      <w:rPr>
        <w:rFonts w:ascii="Wingdings" w:hAnsi="Wingdings" w:hint="default"/>
      </w:rPr>
    </w:lvl>
  </w:abstractNum>
  <w:abstractNum w:abstractNumId="5" w15:restartNumberingAfterBreak="0">
    <w:nsid w:val="55E4AD52"/>
    <w:multiLevelType w:val="hybridMultilevel"/>
    <w:tmpl w:val="FFFFFFFF"/>
    <w:lvl w:ilvl="0" w:tplc="B0D8C3D6">
      <w:start w:val="1"/>
      <w:numFmt w:val="bullet"/>
      <w:lvlText w:val="-"/>
      <w:lvlJc w:val="left"/>
      <w:pPr>
        <w:ind w:left="720" w:hanging="360"/>
      </w:pPr>
      <w:rPr>
        <w:rFonts w:ascii="Aptos" w:hAnsi="Aptos" w:hint="default"/>
      </w:rPr>
    </w:lvl>
    <w:lvl w:ilvl="1" w:tplc="9410ABEC">
      <w:start w:val="1"/>
      <w:numFmt w:val="bullet"/>
      <w:lvlText w:val="o"/>
      <w:lvlJc w:val="left"/>
      <w:pPr>
        <w:ind w:left="1440" w:hanging="360"/>
      </w:pPr>
      <w:rPr>
        <w:rFonts w:ascii="Courier New" w:hAnsi="Courier New" w:hint="default"/>
      </w:rPr>
    </w:lvl>
    <w:lvl w:ilvl="2" w:tplc="180ABAA8">
      <w:start w:val="1"/>
      <w:numFmt w:val="bullet"/>
      <w:lvlText w:val=""/>
      <w:lvlJc w:val="left"/>
      <w:pPr>
        <w:ind w:left="2160" w:hanging="360"/>
      </w:pPr>
      <w:rPr>
        <w:rFonts w:ascii="Wingdings" w:hAnsi="Wingdings" w:hint="default"/>
      </w:rPr>
    </w:lvl>
    <w:lvl w:ilvl="3" w:tplc="5BDC78A2">
      <w:start w:val="1"/>
      <w:numFmt w:val="bullet"/>
      <w:lvlText w:val=""/>
      <w:lvlJc w:val="left"/>
      <w:pPr>
        <w:ind w:left="2880" w:hanging="360"/>
      </w:pPr>
      <w:rPr>
        <w:rFonts w:ascii="Symbol" w:hAnsi="Symbol" w:hint="default"/>
      </w:rPr>
    </w:lvl>
    <w:lvl w:ilvl="4" w:tplc="5AB8CD58">
      <w:start w:val="1"/>
      <w:numFmt w:val="bullet"/>
      <w:lvlText w:val="o"/>
      <w:lvlJc w:val="left"/>
      <w:pPr>
        <w:ind w:left="3600" w:hanging="360"/>
      </w:pPr>
      <w:rPr>
        <w:rFonts w:ascii="Courier New" w:hAnsi="Courier New" w:hint="default"/>
      </w:rPr>
    </w:lvl>
    <w:lvl w:ilvl="5" w:tplc="351261B0">
      <w:start w:val="1"/>
      <w:numFmt w:val="bullet"/>
      <w:lvlText w:val=""/>
      <w:lvlJc w:val="left"/>
      <w:pPr>
        <w:ind w:left="4320" w:hanging="360"/>
      </w:pPr>
      <w:rPr>
        <w:rFonts w:ascii="Wingdings" w:hAnsi="Wingdings" w:hint="default"/>
      </w:rPr>
    </w:lvl>
    <w:lvl w:ilvl="6" w:tplc="13E81A04">
      <w:start w:val="1"/>
      <w:numFmt w:val="bullet"/>
      <w:lvlText w:val=""/>
      <w:lvlJc w:val="left"/>
      <w:pPr>
        <w:ind w:left="5040" w:hanging="360"/>
      </w:pPr>
      <w:rPr>
        <w:rFonts w:ascii="Symbol" w:hAnsi="Symbol" w:hint="default"/>
      </w:rPr>
    </w:lvl>
    <w:lvl w:ilvl="7" w:tplc="6038B86C">
      <w:start w:val="1"/>
      <w:numFmt w:val="bullet"/>
      <w:lvlText w:val="o"/>
      <w:lvlJc w:val="left"/>
      <w:pPr>
        <w:ind w:left="5760" w:hanging="360"/>
      </w:pPr>
      <w:rPr>
        <w:rFonts w:ascii="Courier New" w:hAnsi="Courier New" w:hint="default"/>
      </w:rPr>
    </w:lvl>
    <w:lvl w:ilvl="8" w:tplc="AB929136">
      <w:start w:val="1"/>
      <w:numFmt w:val="bullet"/>
      <w:lvlText w:val=""/>
      <w:lvlJc w:val="left"/>
      <w:pPr>
        <w:ind w:left="6480" w:hanging="360"/>
      </w:pPr>
      <w:rPr>
        <w:rFonts w:ascii="Wingdings" w:hAnsi="Wingdings" w:hint="default"/>
      </w:rPr>
    </w:lvl>
  </w:abstractNum>
  <w:abstractNum w:abstractNumId="6" w15:restartNumberingAfterBreak="0">
    <w:nsid w:val="565AEBDF"/>
    <w:multiLevelType w:val="hybridMultilevel"/>
    <w:tmpl w:val="FFFFFFFF"/>
    <w:lvl w:ilvl="0" w:tplc="4C3861DA">
      <w:start w:val="1"/>
      <w:numFmt w:val="bullet"/>
      <w:lvlText w:val="-"/>
      <w:lvlJc w:val="left"/>
      <w:pPr>
        <w:ind w:left="720" w:hanging="360"/>
      </w:pPr>
      <w:rPr>
        <w:rFonts w:ascii="Aptos" w:hAnsi="Aptos" w:hint="default"/>
      </w:rPr>
    </w:lvl>
    <w:lvl w:ilvl="1" w:tplc="5C12A880">
      <w:start w:val="1"/>
      <w:numFmt w:val="bullet"/>
      <w:lvlText w:val="o"/>
      <w:lvlJc w:val="left"/>
      <w:pPr>
        <w:ind w:left="1440" w:hanging="360"/>
      </w:pPr>
      <w:rPr>
        <w:rFonts w:ascii="Courier New" w:hAnsi="Courier New" w:hint="default"/>
      </w:rPr>
    </w:lvl>
    <w:lvl w:ilvl="2" w:tplc="D87CBE0E">
      <w:start w:val="1"/>
      <w:numFmt w:val="bullet"/>
      <w:lvlText w:val=""/>
      <w:lvlJc w:val="left"/>
      <w:pPr>
        <w:ind w:left="2160" w:hanging="360"/>
      </w:pPr>
      <w:rPr>
        <w:rFonts w:ascii="Wingdings" w:hAnsi="Wingdings" w:hint="default"/>
      </w:rPr>
    </w:lvl>
    <w:lvl w:ilvl="3" w:tplc="C4B29CBC">
      <w:start w:val="1"/>
      <w:numFmt w:val="bullet"/>
      <w:lvlText w:val=""/>
      <w:lvlJc w:val="left"/>
      <w:pPr>
        <w:ind w:left="2880" w:hanging="360"/>
      </w:pPr>
      <w:rPr>
        <w:rFonts w:ascii="Symbol" w:hAnsi="Symbol" w:hint="default"/>
      </w:rPr>
    </w:lvl>
    <w:lvl w:ilvl="4" w:tplc="58A890CE">
      <w:start w:val="1"/>
      <w:numFmt w:val="bullet"/>
      <w:lvlText w:val="o"/>
      <w:lvlJc w:val="left"/>
      <w:pPr>
        <w:ind w:left="3600" w:hanging="360"/>
      </w:pPr>
      <w:rPr>
        <w:rFonts w:ascii="Courier New" w:hAnsi="Courier New" w:hint="default"/>
      </w:rPr>
    </w:lvl>
    <w:lvl w:ilvl="5" w:tplc="B7049B60">
      <w:start w:val="1"/>
      <w:numFmt w:val="bullet"/>
      <w:lvlText w:val=""/>
      <w:lvlJc w:val="left"/>
      <w:pPr>
        <w:ind w:left="4320" w:hanging="360"/>
      </w:pPr>
      <w:rPr>
        <w:rFonts w:ascii="Wingdings" w:hAnsi="Wingdings" w:hint="default"/>
      </w:rPr>
    </w:lvl>
    <w:lvl w:ilvl="6" w:tplc="5A1EC6C8">
      <w:start w:val="1"/>
      <w:numFmt w:val="bullet"/>
      <w:lvlText w:val=""/>
      <w:lvlJc w:val="left"/>
      <w:pPr>
        <w:ind w:left="5040" w:hanging="360"/>
      </w:pPr>
      <w:rPr>
        <w:rFonts w:ascii="Symbol" w:hAnsi="Symbol" w:hint="default"/>
      </w:rPr>
    </w:lvl>
    <w:lvl w:ilvl="7" w:tplc="896EB78C">
      <w:start w:val="1"/>
      <w:numFmt w:val="bullet"/>
      <w:lvlText w:val="o"/>
      <w:lvlJc w:val="left"/>
      <w:pPr>
        <w:ind w:left="5760" w:hanging="360"/>
      </w:pPr>
      <w:rPr>
        <w:rFonts w:ascii="Courier New" w:hAnsi="Courier New" w:hint="default"/>
      </w:rPr>
    </w:lvl>
    <w:lvl w:ilvl="8" w:tplc="FDD6A644">
      <w:start w:val="1"/>
      <w:numFmt w:val="bullet"/>
      <w:lvlText w:val=""/>
      <w:lvlJc w:val="left"/>
      <w:pPr>
        <w:ind w:left="6480" w:hanging="360"/>
      </w:pPr>
      <w:rPr>
        <w:rFonts w:ascii="Wingdings" w:hAnsi="Wingdings" w:hint="default"/>
      </w:rPr>
    </w:lvl>
  </w:abstractNum>
  <w:abstractNum w:abstractNumId="7" w15:restartNumberingAfterBreak="0">
    <w:nsid w:val="5A3CC036"/>
    <w:multiLevelType w:val="hybridMultilevel"/>
    <w:tmpl w:val="FFFFFFFF"/>
    <w:lvl w:ilvl="0" w:tplc="75301AC0">
      <w:start w:val="1"/>
      <w:numFmt w:val="bullet"/>
      <w:lvlText w:val="-"/>
      <w:lvlJc w:val="left"/>
      <w:pPr>
        <w:ind w:left="720" w:hanging="360"/>
      </w:pPr>
      <w:rPr>
        <w:rFonts w:ascii="Aptos" w:hAnsi="Aptos" w:hint="default"/>
      </w:rPr>
    </w:lvl>
    <w:lvl w:ilvl="1" w:tplc="7E78328C">
      <w:start w:val="1"/>
      <w:numFmt w:val="bullet"/>
      <w:lvlText w:val="o"/>
      <w:lvlJc w:val="left"/>
      <w:pPr>
        <w:ind w:left="1440" w:hanging="360"/>
      </w:pPr>
      <w:rPr>
        <w:rFonts w:ascii="Courier New" w:hAnsi="Courier New" w:hint="default"/>
      </w:rPr>
    </w:lvl>
    <w:lvl w:ilvl="2" w:tplc="6BFC0364">
      <w:start w:val="1"/>
      <w:numFmt w:val="bullet"/>
      <w:lvlText w:val=""/>
      <w:lvlJc w:val="left"/>
      <w:pPr>
        <w:ind w:left="2160" w:hanging="360"/>
      </w:pPr>
      <w:rPr>
        <w:rFonts w:ascii="Wingdings" w:hAnsi="Wingdings" w:hint="default"/>
      </w:rPr>
    </w:lvl>
    <w:lvl w:ilvl="3" w:tplc="761EC7B6">
      <w:start w:val="1"/>
      <w:numFmt w:val="bullet"/>
      <w:lvlText w:val=""/>
      <w:lvlJc w:val="left"/>
      <w:pPr>
        <w:ind w:left="2880" w:hanging="360"/>
      </w:pPr>
      <w:rPr>
        <w:rFonts w:ascii="Symbol" w:hAnsi="Symbol" w:hint="default"/>
      </w:rPr>
    </w:lvl>
    <w:lvl w:ilvl="4" w:tplc="2F7636AC">
      <w:start w:val="1"/>
      <w:numFmt w:val="bullet"/>
      <w:lvlText w:val="o"/>
      <w:lvlJc w:val="left"/>
      <w:pPr>
        <w:ind w:left="3600" w:hanging="360"/>
      </w:pPr>
      <w:rPr>
        <w:rFonts w:ascii="Courier New" w:hAnsi="Courier New" w:hint="default"/>
      </w:rPr>
    </w:lvl>
    <w:lvl w:ilvl="5" w:tplc="AD8421BE">
      <w:start w:val="1"/>
      <w:numFmt w:val="bullet"/>
      <w:lvlText w:val=""/>
      <w:lvlJc w:val="left"/>
      <w:pPr>
        <w:ind w:left="4320" w:hanging="360"/>
      </w:pPr>
      <w:rPr>
        <w:rFonts w:ascii="Wingdings" w:hAnsi="Wingdings" w:hint="default"/>
      </w:rPr>
    </w:lvl>
    <w:lvl w:ilvl="6" w:tplc="D9D8D85A">
      <w:start w:val="1"/>
      <w:numFmt w:val="bullet"/>
      <w:lvlText w:val=""/>
      <w:lvlJc w:val="left"/>
      <w:pPr>
        <w:ind w:left="5040" w:hanging="360"/>
      </w:pPr>
      <w:rPr>
        <w:rFonts w:ascii="Symbol" w:hAnsi="Symbol" w:hint="default"/>
      </w:rPr>
    </w:lvl>
    <w:lvl w:ilvl="7" w:tplc="7EE238D0">
      <w:start w:val="1"/>
      <w:numFmt w:val="bullet"/>
      <w:lvlText w:val="o"/>
      <w:lvlJc w:val="left"/>
      <w:pPr>
        <w:ind w:left="5760" w:hanging="360"/>
      </w:pPr>
      <w:rPr>
        <w:rFonts w:ascii="Courier New" w:hAnsi="Courier New" w:hint="default"/>
      </w:rPr>
    </w:lvl>
    <w:lvl w:ilvl="8" w:tplc="E77ACB88">
      <w:start w:val="1"/>
      <w:numFmt w:val="bullet"/>
      <w:lvlText w:val=""/>
      <w:lvlJc w:val="left"/>
      <w:pPr>
        <w:ind w:left="6480" w:hanging="360"/>
      </w:pPr>
      <w:rPr>
        <w:rFonts w:ascii="Wingdings" w:hAnsi="Wingdings" w:hint="default"/>
      </w:rPr>
    </w:lvl>
  </w:abstractNum>
  <w:abstractNum w:abstractNumId="8" w15:restartNumberingAfterBreak="0">
    <w:nsid w:val="619C4E5C"/>
    <w:multiLevelType w:val="hybridMultilevel"/>
    <w:tmpl w:val="FFFFFFFF"/>
    <w:lvl w:ilvl="0" w:tplc="40E28AB0">
      <w:start w:val="1"/>
      <w:numFmt w:val="bullet"/>
      <w:lvlText w:val="-"/>
      <w:lvlJc w:val="left"/>
      <w:pPr>
        <w:ind w:left="720" w:hanging="360"/>
      </w:pPr>
      <w:rPr>
        <w:rFonts w:ascii="Aptos" w:hAnsi="Aptos" w:hint="default"/>
      </w:rPr>
    </w:lvl>
    <w:lvl w:ilvl="1" w:tplc="0052A7D0">
      <w:start w:val="1"/>
      <w:numFmt w:val="bullet"/>
      <w:lvlText w:val="o"/>
      <w:lvlJc w:val="left"/>
      <w:pPr>
        <w:ind w:left="1440" w:hanging="360"/>
      </w:pPr>
      <w:rPr>
        <w:rFonts w:ascii="Courier New" w:hAnsi="Courier New" w:hint="default"/>
      </w:rPr>
    </w:lvl>
    <w:lvl w:ilvl="2" w:tplc="8408CD82">
      <w:start w:val="1"/>
      <w:numFmt w:val="bullet"/>
      <w:lvlText w:val=""/>
      <w:lvlJc w:val="left"/>
      <w:pPr>
        <w:ind w:left="2160" w:hanging="360"/>
      </w:pPr>
      <w:rPr>
        <w:rFonts w:ascii="Wingdings" w:hAnsi="Wingdings" w:hint="default"/>
      </w:rPr>
    </w:lvl>
    <w:lvl w:ilvl="3" w:tplc="82FEEC98">
      <w:start w:val="1"/>
      <w:numFmt w:val="bullet"/>
      <w:lvlText w:val=""/>
      <w:lvlJc w:val="left"/>
      <w:pPr>
        <w:ind w:left="2880" w:hanging="360"/>
      </w:pPr>
      <w:rPr>
        <w:rFonts w:ascii="Symbol" w:hAnsi="Symbol" w:hint="default"/>
      </w:rPr>
    </w:lvl>
    <w:lvl w:ilvl="4" w:tplc="0E4A69D6">
      <w:start w:val="1"/>
      <w:numFmt w:val="bullet"/>
      <w:lvlText w:val="o"/>
      <w:lvlJc w:val="left"/>
      <w:pPr>
        <w:ind w:left="3600" w:hanging="360"/>
      </w:pPr>
      <w:rPr>
        <w:rFonts w:ascii="Courier New" w:hAnsi="Courier New" w:hint="default"/>
      </w:rPr>
    </w:lvl>
    <w:lvl w:ilvl="5" w:tplc="95CC5BCC">
      <w:start w:val="1"/>
      <w:numFmt w:val="bullet"/>
      <w:lvlText w:val=""/>
      <w:lvlJc w:val="left"/>
      <w:pPr>
        <w:ind w:left="4320" w:hanging="360"/>
      </w:pPr>
      <w:rPr>
        <w:rFonts w:ascii="Wingdings" w:hAnsi="Wingdings" w:hint="default"/>
      </w:rPr>
    </w:lvl>
    <w:lvl w:ilvl="6" w:tplc="FD00AC36">
      <w:start w:val="1"/>
      <w:numFmt w:val="bullet"/>
      <w:lvlText w:val=""/>
      <w:lvlJc w:val="left"/>
      <w:pPr>
        <w:ind w:left="5040" w:hanging="360"/>
      </w:pPr>
      <w:rPr>
        <w:rFonts w:ascii="Symbol" w:hAnsi="Symbol" w:hint="default"/>
      </w:rPr>
    </w:lvl>
    <w:lvl w:ilvl="7" w:tplc="FD6E0FDC">
      <w:start w:val="1"/>
      <w:numFmt w:val="bullet"/>
      <w:lvlText w:val="o"/>
      <w:lvlJc w:val="left"/>
      <w:pPr>
        <w:ind w:left="5760" w:hanging="360"/>
      </w:pPr>
      <w:rPr>
        <w:rFonts w:ascii="Courier New" w:hAnsi="Courier New" w:hint="default"/>
      </w:rPr>
    </w:lvl>
    <w:lvl w:ilvl="8" w:tplc="AA6A1F70">
      <w:start w:val="1"/>
      <w:numFmt w:val="bullet"/>
      <w:lvlText w:val=""/>
      <w:lvlJc w:val="left"/>
      <w:pPr>
        <w:ind w:left="6480" w:hanging="360"/>
      </w:pPr>
      <w:rPr>
        <w:rFonts w:ascii="Wingdings" w:hAnsi="Wingdings" w:hint="default"/>
      </w:rPr>
    </w:lvl>
  </w:abstractNum>
  <w:abstractNum w:abstractNumId="9" w15:restartNumberingAfterBreak="0">
    <w:nsid w:val="7031CB60"/>
    <w:multiLevelType w:val="hybridMultilevel"/>
    <w:tmpl w:val="FFFFFFFF"/>
    <w:lvl w:ilvl="0" w:tplc="B95697FE">
      <w:start w:val="1"/>
      <w:numFmt w:val="bullet"/>
      <w:lvlText w:val="-"/>
      <w:lvlJc w:val="left"/>
      <w:pPr>
        <w:ind w:left="720" w:hanging="360"/>
      </w:pPr>
      <w:rPr>
        <w:rFonts w:ascii="Aptos" w:hAnsi="Aptos" w:hint="default"/>
      </w:rPr>
    </w:lvl>
    <w:lvl w:ilvl="1" w:tplc="941A4520">
      <w:start w:val="1"/>
      <w:numFmt w:val="bullet"/>
      <w:lvlText w:val="o"/>
      <w:lvlJc w:val="left"/>
      <w:pPr>
        <w:ind w:left="1440" w:hanging="360"/>
      </w:pPr>
      <w:rPr>
        <w:rFonts w:ascii="Courier New" w:hAnsi="Courier New" w:hint="default"/>
      </w:rPr>
    </w:lvl>
    <w:lvl w:ilvl="2" w:tplc="5C7EAF02">
      <w:start w:val="1"/>
      <w:numFmt w:val="bullet"/>
      <w:lvlText w:val=""/>
      <w:lvlJc w:val="left"/>
      <w:pPr>
        <w:ind w:left="2160" w:hanging="360"/>
      </w:pPr>
      <w:rPr>
        <w:rFonts w:ascii="Wingdings" w:hAnsi="Wingdings" w:hint="default"/>
      </w:rPr>
    </w:lvl>
    <w:lvl w:ilvl="3" w:tplc="82BE1E42">
      <w:start w:val="1"/>
      <w:numFmt w:val="bullet"/>
      <w:lvlText w:val=""/>
      <w:lvlJc w:val="left"/>
      <w:pPr>
        <w:ind w:left="2880" w:hanging="360"/>
      </w:pPr>
      <w:rPr>
        <w:rFonts w:ascii="Symbol" w:hAnsi="Symbol" w:hint="default"/>
      </w:rPr>
    </w:lvl>
    <w:lvl w:ilvl="4" w:tplc="35289636">
      <w:start w:val="1"/>
      <w:numFmt w:val="bullet"/>
      <w:lvlText w:val="o"/>
      <w:lvlJc w:val="left"/>
      <w:pPr>
        <w:ind w:left="3600" w:hanging="360"/>
      </w:pPr>
      <w:rPr>
        <w:rFonts w:ascii="Courier New" w:hAnsi="Courier New" w:hint="default"/>
      </w:rPr>
    </w:lvl>
    <w:lvl w:ilvl="5" w:tplc="F9304AF8">
      <w:start w:val="1"/>
      <w:numFmt w:val="bullet"/>
      <w:lvlText w:val=""/>
      <w:lvlJc w:val="left"/>
      <w:pPr>
        <w:ind w:left="4320" w:hanging="360"/>
      </w:pPr>
      <w:rPr>
        <w:rFonts w:ascii="Wingdings" w:hAnsi="Wingdings" w:hint="default"/>
      </w:rPr>
    </w:lvl>
    <w:lvl w:ilvl="6" w:tplc="78BA1C58">
      <w:start w:val="1"/>
      <w:numFmt w:val="bullet"/>
      <w:lvlText w:val=""/>
      <w:lvlJc w:val="left"/>
      <w:pPr>
        <w:ind w:left="5040" w:hanging="360"/>
      </w:pPr>
      <w:rPr>
        <w:rFonts w:ascii="Symbol" w:hAnsi="Symbol" w:hint="default"/>
      </w:rPr>
    </w:lvl>
    <w:lvl w:ilvl="7" w:tplc="9F90D8F2">
      <w:start w:val="1"/>
      <w:numFmt w:val="bullet"/>
      <w:lvlText w:val="o"/>
      <w:lvlJc w:val="left"/>
      <w:pPr>
        <w:ind w:left="5760" w:hanging="360"/>
      </w:pPr>
      <w:rPr>
        <w:rFonts w:ascii="Courier New" w:hAnsi="Courier New" w:hint="default"/>
      </w:rPr>
    </w:lvl>
    <w:lvl w:ilvl="8" w:tplc="5B1839FA">
      <w:start w:val="1"/>
      <w:numFmt w:val="bullet"/>
      <w:lvlText w:val=""/>
      <w:lvlJc w:val="left"/>
      <w:pPr>
        <w:ind w:left="6480" w:hanging="360"/>
      </w:pPr>
      <w:rPr>
        <w:rFonts w:ascii="Wingdings" w:hAnsi="Wingdings" w:hint="default"/>
      </w:rPr>
    </w:lvl>
  </w:abstractNum>
  <w:abstractNum w:abstractNumId="10" w15:restartNumberingAfterBreak="0">
    <w:nsid w:val="78DC3F62"/>
    <w:multiLevelType w:val="hybridMultilevel"/>
    <w:tmpl w:val="FFFFFFFF"/>
    <w:lvl w:ilvl="0" w:tplc="2E863858">
      <w:start w:val="1"/>
      <w:numFmt w:val="bullet"/>
      <w:lvlText w:val="-"/>
      <w:lvlJc w:val="left"/>
      <w:pPr>
        <w:ind w:left="720" w:hanging="360"/>
      </w:pPr>
      <w:rPr>
        <w:rFonts w:ascii="Aptos" w:hAnsi="Aptos" w:hint="default"/>
      </w:rPr>
    </w:lvl>
    <w:lvl w:ilvl="1" w:tplc="E722A5A6">
      <w:start w:val="1"/>
      <w:numFmt w:val="bullet"/>
      <w:lvlText w:val="o"/>
      <w:lvlJc w:val="left"/>
      <w:pPr>
        <w:ind w:left="1440" w:hanging="360"/>
      </w:pPr>
      <w:rPr>
        <w:rFonts w:ascii="Courier New" w:hAnsi="Courier New" w:hint="default"/>
      </w:rPr>
    </w:lvl>
    <w:lvl w:ilvl="2" w:tplc="5204B65E">
      <w:start w:val="1"/>
      <w:numFmt w:val="bullet"/>
      <w:lvlText w:val=""/>
      <w:lvlJc w:val="left"/>
      <w:pPr>
        <w:ind w:left="2160" w:hanging="360"/>
      </w:pPr>
      <w:rPr>
        <w:rFonts w:ascii="Wingdings" w:hAnsi="Wingdings" w:hint="default"/>
      </w:rPr>
    </w:lvl>
    <w:lvl w:ilvl="3" w:tplc="B3D80406">
      <w:start w:val="1"/>
      <w:numFmt w:val="bullet"/>
      <w:lvlText w:val=""/>
      <w:lvlJc w:val="left"/>
      <w:pPr>
        <w:ind w:left="2880" w:hanging="360"/>
      </w:pPr>
      <w:rPr>
        <w:rFonts w:ascii="Symbol" w:hAnsi="Symbol" w:hint="default"/>
      </w:rPr>
    </w:lvl>
    <w:lvl w:ilvl="4" w:tplc="ADFC204E">
      <w:start w:val="1"/>
      <w:numFmt w:val="bullet"/>
      <w:lvlText w:val="o"/>
      <w:lvlJc w:val="left"/>
      <w:pPr>
        <w:ind w:left="3600" w:hanging="360"/>
      </w:pPr>
      <w:rPr>
        <w:rFonts w:ascii="Courier New" w:hAnsi="Courier New" w:hint="default"/>
      </w:rPr>
    </w:lvl>
    <w:lvl w:ilvl="5" w:tplc="A3B84E9E">
      <w:start w:val="1"/>
      <w:numFmt w:val="bullet"/>
      <w:lvlText w:val=""/>
      <w:lvlJc w:val="left"/>
      <w:pPr>
        <w:ind w:left="4320" w:hanging="360"/>
      </w:pPr>
      <w:rPr>
        <w:rFonts w:ascii="Wingdings" w:hAnsi="Wingdings" w:hint="default"/>
      </w:rPr>
    </w:lvl>
    <w:lvl w:ilvl="6" w:tplc="816CB342">
      <w:start w:val="1"/>
      <w:numFmt w:val="bullet"/>
      <w:lvlText w:val=""/>
      <w:lvlJc w:val="left"/>
      <w:pPr>
        <w:ind w:left="5040" w:hanging="360"/>
      </w:pPr>
      <w:rPr>
        <w:rFonts w:ascii="Symbol" w:hAnsi="Symbol" w:hint="default"/>
      </w:rPr>
    </w:lvl>
    <w:lvl w:ilvl="7" w:tplc="8F24BC40">
      <w:start w:val="1"/>
      <w:numFmt w:val="bullet"/>
      <w:lvlText w:val="o"/>
      <w:lvlJc w:val="left"/>
      <w:pPr>
        <w:ind w:left="5760" w:hanging="360"/>
      </w:pPr>
      <w:rPr>
        <w:rFonts w:ascii="Courier New" w:hAnsi="Courier New" w:hint="default"/>
      </w:rPr>
    </w:lvl>
    <w:lvl w:ilvl="8" w:tplc="832CA188">
      <w:start w:val="1"/>
      <w:numFmt w:val="bullet"/>
      <w:lvlText w:val=""/>
      <w:lvlJc w:val="left"/>
      <w:pPr>
        <w:ind w:left="6480" w:hanging="360"/>
      </w:pPr>
      <w:rPr>
        <w:rFonts w:ascii="Wingdings" w:hAnsi="Wingdings" w:hint="default"/>
      </w:rPr>
    </w:lvl>
  </w:abstractNum>
  <w:num w:numId="1" w16cid:durableId="668487296">
    <w:abstractNumId w:val="6"/>
  </w:num>
  <w:num w:numId="2" w16cid:durableId="936600406">
    <w:abstractNumId w:val="8"/>
  </w:num>
  <w:num w:numId="3" w16cid:durableId="722678037">
    <w:abstractNumId w:val="9"/>
  </w:num>
  <w:num w:numId="4" w16cid:durableId="721901453">
    <w:abstractNumId w:val="2"/>
  </w:num>
  <w:num w:numId="5" w16cid:durableId="1934971119">
    <w:abstractNumId w:val="5"/>
  </w:num>
  <w:num w:numId="6" w16cid:durableId="1765567612">
    <w:abstractNumId w:val="1"/>
  </w:num>
  <w:num w:numId="7" w16cid:durableId="623779940">
    <w:abstractNumId w:val="4"/>
  </w:num>
  <w:num w:numId="8" w16cid:durableId="1512913514">
    <w:abstractNumId w:val="7"/>
  </w:num>
  <w:num w:numId="9" w16cid:durableId="1261838729">
    <w:abstractNumId w:val="10"/>
  </w:num>
  <w:num w:numId="10" w16cid:durableId="1792019736">
    <w:abstractNumId w:val="3"/>
  </w:num>
  <w:num w:numId="11" w16cid:durableId="146061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43"/>
    <w:rsid w:val="00000DEB"/>
    <w:rsid w:val="000030ED"/>
    <w:rsid w:val="00004A24"/>
    <w:rsid w:val="00006205"/>
    <w:rsid w:val="000064D2"/>
    <w:rsid w:val="000101E8"/>
    <w:rsid w:val="00011237"/>
    <w:rsid w:val="00011A7E"/>
    <w:rsid w:val="000136C9"/>
    <w:rsid w:val="00013B32"/>
    <w:rsid w:val="0001729F"/>
    <w:rsid w:val="00020173"/>
    <w:rsid w:val="00020A09"/>
    <w:rsid w:val="000233DA"/>
    <w:rsid w:val="00024132"/>
    <w:rsid w:val="00024FAB"/>
    <w:rsid w:val="000260BF"/>
    <w:rsid w:val="000270D5"/>
    <w:rsid w:val="00027925"/>
    <w:rsid w:val="00027AC5"/>
    <w:rsid w:val="00027E1D"/>
    <w:rsid w:val="00032460"/>
    <w:rsid w:val="00032528"/>
    <w:rsid w:val="000329D3"/>
    <w:rsid w:val="000331BD"/>
    <w:rsid w:val="00033A1F"/>
    <w:rsid w:val="00033EAD"/>
    <w:rsid w:val="0003472E"/>
    <w:rsid w:val="00036EB0"/>
    <w:rsid w:val="00040E55"/>
    <w:rsid w:val="00041FC6"/>
    <w:rsid w:val="00044D4A"/>
    <w:rsid w:val="00045A7C"/>
    <w:rsid w:val="00047399"/>
    <w:rsid w:val="000507DA"/>
    <w:rsid w:val="00051C47"/>
    <w:rsid w:val="000525AE"/>
    <w:rsid w:val="000550C7"/>
    <w:rsid w:val="0005572E"/>
    <w:rsid w:val="00056B82"/>
    <w:rsid w:val="00061777"/>
    <w:rsid w:val="00062213"/>
    <w:rsid w:val="00063633"/>
    <w:rsid w:val="000637F0"/>
    <w:rsid w:val="0006459C"/>
    <w:rsid w:val="00065BFA"/>
    <w:rsid w:val="0007083F"/>
    <w:rsid w:val="00071811"/>
    <w:rsid w:val="00071A48"/>
    <w:rsid w:val="00072861"/>
    <w:rsid w:val="000774ED"/>
    <w:rsid w:val="000806C1"/>
    <w:rsid w:val="00081598"/>
    <w:rsid w:val="00085F2E"/>
    <w:rsid w:val="000868A8"/>
    <w:rsid w:val="00092691"/>
    <w:rsid w:val="00093C9D"/>
    <w:rsid w:val="000951DD"/>
    <w:rsid w:val="00095A5A"/>
    <w:rsid w:val="000979FB"/>
    <w:rsid w:val="000A0DF7"/>
    <w:rsid w:val="000A2AE0"/>
    <w:rsid w:val="000A3847"/>
    <w:rsid w:val="000A5756"/>
    <w:rsid w:val="000A7894"/>
    <w:rsid w:val="000A7B0B"/>
    <w:rsid w:val="000A7BA5"/>
    <w:rsid w:val="000B14CD"/>
    <w:rsid w:val="000B3B7A"/>
    <w:rsid w:val="000B5F81"/>
    <w:rsid w:val="000B6126"/>
    <w:rsid w:val="000C1B20"/>
    <w:rsid w:val="000C1EC9"/>
    <w:rsid w:val="000C55B9"/>
    <w:rsid w:val="000C7390"/>
    <w:rsid w:val="000C76EF"/>
    <w:rsid w:val="000D1534"/>
    <w:rsid w:val="000D3EDE"/>
    <w:rsid w:val="000E50A1"/>
    <w:rsid w:val="000E5ADA"/>
    <w:rsid w:val="000E7094"/>
    <w:rsid w:val="000E7C32"/>
    <w:rsid w:val="000F0D1A"/>
    <w:rsid w:val="000F0EDD"/>
    <w:rsid w:val="000F2840"/>
    <w:rsid w:val="0010085C"/>
    <w:rsid w:val="00100C39"/>
    <w:rsid w:val="00100DF1"/>
    <w:rsid w:val="00101D5B"/>
    <w:rsid w:val="0010359E"/>
    <w:rsid w:val="001040E8"/>
    <w:rsid w:val="0010637A"/>
    <w:rsid w:val="001064AA"/>
    <w:rsid w:val="00111F1A"/>
    <w:rsid w:val="0011277F"/>
    <w:rsid w:val="00112BEB"/>
    <w:rsid w:val="00112F89"/>
    <w:rsid w:val="00113CA3"/>
    <w:rsid w:val="00114D4E"/>
    <w:rsid w:val="00115293"/>
    <w:rsid w:val="00121B17"/>
    <w:rsid w:val="0012228B"/>
    <w:rsid w:val="00125F45"/>
    <w:rsid w:val="00127B2E"/>
    <w:rsid w:val="001302D5"/>
    <w:rsid w:val="0013357F"/>
    <w:rsid w:val="00134B8E"/>
    <w:rsid w:val="00135715"/>
    <w:rsid w:val="00136DC5"/>
    <w:rsid w:val="00137429"/>
    <w:rsid w:val="0014117E"/>
    <w:rsid w:val="00145B9C"/>
    <w:rsid w:val="00146EA4"/>
    <w:rsid w:val="00146F53"/>
    <w:rsid w:val="001474F9"/>
    <w:rsid w:val="00151826"/>
    <w:rsid w:val="001522B0"/>
    <w:rsid w:val="00152FEE"/>
    <w:rsid w:val="001530E4"/>
    <w:rsid w:val="001535FB"/>
    <w:rsid w:val="0015705C"/>
    <w:rsid w:val="00161954"/>
    <w:rsid w:val="00161E93"/>
    <w:rsid w:val="00162FF7"/>
    <w:rsid w:val="0016344F"/>
    <w:rsid w:val="00163C68"/>
    <w:rsid w:val="00164F5D"/>
    <w:rsid w:val="001713EE"/>
    <w:rsid w:val="00171550"/>
    <w:rsid w:val="0017596B"/>
    <w:rsid w:val="001818AC"/>
    <w:rsid w:val="00183BA9"/>
    <w:rsid w:val="00185766"/>
    <w:rsid w:val="00186FAE"/>
    <w:rsid w:val="0018777D"/>
    <w:rsid w:val="0019063F"/>
    <w:rsid w:val="001912DB"/>
    <w:rsid w:val="001934B9"/>
    <w:rsid w:val="00193CDB"/>
    <w:rsid w:val="001965DC"/>
    <w:rsid w:val="00197112"/>
    <w:rsid w:val="00197F6C"/>
    <w:rsid w:val="001A3A0C"/>
    <w:rsid w:val="001A4613"/>
    <w:rsid w:val="001A5D89"/>
    <w:rsid w:val="001B0AFE"/>
    <w:rsid w:val="001B15A8"/>
    <w:rsid w:val="001B1C5B"/>
    <w:rsid w:val="001B23FC"/>
    <w:rsid w:val="001B34CC"/>
    <w:rsid w:val="001B3779"/>
    <w:rsid w:val="001B53EF"/>
    <w:rsid w:val="001B5C57"/>
    <w:rsid w:val="001B7B3E"/>
    <w:rsid w:val="001C052D"/>
    <w:rsid w:val="001C39DA"/>
    <w:rsid w:val="001C6BB4"/>
    <w:rsid w:val="001C7815"/>
    <w:rsid w:val="001D0A5A"/>
    <w:rsid w:val="001D38A9"/>
    <w:rsid w:val="001D39B3"/>
    <w:rsid w:val="001D427D"/>
    <w:rsid w:val="001D6124"/>
    <w:rsid w:val="001D76E4"/>
    <w:rsid w:val="001D7783"/>
    <w:rsid w:val="001E0124"/>
    <w:rsid w:val="001E2260"/>
    <w:rsid w:val="001E504C"/>
    <w:rsid w:val="001E5F2B"/>
    <w:rsid w:val="001E720D"/>
    <w:rsid w:val="001F0C3B"/>
    <w:rsid w:val="001F3182"/>
    <w:rsid w:val="001F36FC"/>
    <w:rsid w:val="001F3B5F"/>
    <w:rsid w:val="001F3CC0"/>
    <w:rsid w:val="001F505B"/>
    <w:rsid w:val="001F6068"/>
    <w:rsid w:val="001F61CC"/>
    <w:rsid w:val="001F67F1"/>
    <w:rsid w:val="001F6E5D"/>
    <w:rsid w:val="00200823"/>
    <w:rsid w:val="002013C2"/>
    <w:rsid w:val="002024EB"/>
    <w:rsid w:val="00203859"/>
    <w:rsid w:val="00203EDB"/>
    <w:rsid w:val="00204DAD"/>
    <w:rsid w:val="0020546C"/>
    <w:rsid w:val="002074D3"/>
    <w:rsid w:val="00207FF3"/>
    <w:rsid w:val="00211F02"/>
    <w:rsid w:val="0021212E"/>
    <w:rsid w:val="00213F7C"/>
    <w:rsid w:val="00214227"/>
    <w:rsid w:val="00222310"/>
    <w:rsid w:val="002225DB"/>
    <w:rsid w:val="00224D56"/>
    <w:rsid w:val="002257F8"/>
    <w:rsid w:val="00225C59"/>
    <w:rsid w:val="00235B4F"/>
    <w:rsid w:val="00237518"/>
    <w:rsid w:val="00237945"/>
    <w:rsid w:val="00237BDC"/>
    <w:rsid w:val="00237C92"/>
    <w:rsid w:val="00241BF7"/>
    <w:rsid w:val="00241E73"/>
    <w:rsid w:val="002429D7"/>
    <w:rsid w:val="00243B44"/>
    <w:rsid w:val="00246073"/>
    <w:rsid w:val="002463ED"/>
    <w:rsid w:val="00246710"/>
    <w:rsid w:val="0024775B"/>
    <w:rsid w:val="00250AA2"/>
    <w:rsid w:val="00251498"/>
    <w:rsid w:val="00252BE8"/>
    <w:rsid w:val="002532A9"/>
    <w:rsid w:val="00253D28"/>
    <w:rsid w:val="0025448A"/>
    <w:rsid w:val="00254BDC"/>
    <w:rsid w:val="00255CB4"/>
    <w:rsid w:val="002560E6"/>
    <w:rsid w:val="00256175"/>
    <w:rsid w:val="00256414"/>
    <w:rsid w:val="00256DD2"/>
    <w:rsid w:val="00257421"/>
    <w:rsid w:val="00257634"/>
    <w:rsid w:val="00257642"/>
    <w:rsid w:val="00257B2B"/>
    <w:rsid w:val="002603EF"/>
    <w:rsid w:val="00260E27"/>
    <w:rsid w:val="0026119F"/>
    <w:rsid w:val="002614CE"/>
    <w:rsid w:val="00261D61"/>
    <w:rsid w:val="002663D8"/>
    <w:rsid w:val="00266E4C"/>
    <w:rsid w:val="00266F9C"/>
    <w:rsid w:val="002714B4"/>
    <w:rsid w:val="00271DB9"/>
    <w:rsid w:val="00273F68"/>
    <w:rsid w:val="00274695"/>
    <w:rsid w:val="0027499A"/>
    <w:rsid w:val="002764E8"/>
    <w:rsid w:val="002764FF"/>
    <w:rsid w:val="0028020B"/>
    <w:rsid w:val="00280CD4"/>
    <w:rsid w:val="00280F71"/>
    <w:rsid w:val="002812E4"/>
    <w:rsid w:val="00281530"/>
    <w:rsid w:val="0028298E"/>
    <w:rsid w:val="002866B6"/>
    <w:rsid w:val="00287439"/>
    <w:rsid w:val="00287DE9"/>
    <w:rsid w:val="00293861"/>
    <w:rsid w:val="002952E7"/>
    <w:rsid w:val="00295D67"/>
    <w:rsid w:val="00295FB8"/>
    <w:rsid w:val="0029694D"/>
    <w:rsid w:val="00297ADB"/>
    <w:rsid w:val="00297C7C"/>
    <w:rsid w:val="002A0D1D"/>
    <w:rsid w:val="002A1801"/>
    <w:rsid w:val="002A1FFF"/>
    <w:rsid w:val="002A2E59"/>
    <w:rsid w:val="002A310C"/>
    <w:rsid w:val="002A441E"/>
    <w:rsid w:val="002A448D"/>
    <w:rsid w:val="002A63A8"/>
    <w:rsid w:val="002A716F"/>
    <w:rsid w:val="002A763A"/>
    <w:rsid w:val="002B4388"/>
    <w:rsid w:val="002B643C"/>
    <w:rsid w:val="002B65B3"/>
    <w:rsid w:val="002B728E"/>
    <w:rsid w:val="002B753B"/>
    <w:rsid w:val="002C59DC"/>
    <w:rsid w:val="002C5E00"/>
    <w:rsid w:val="002D040D"/>
    <w:rsid w:val="002D10D4"/>
    <w:rsid w:val="002D15AD"/>
    <w:rsid w:val="002D1ECA"/>
    <w:rsid w:val="002D53B3"/>
    <w:rsid w:val="002D6BF5"/>
    <w:rsid w:val="002E01B5"/>
    <w:rsid w:val="002E35C3"/>
    <w:rsid w:val="002E53A9"/>
    <w:rsid w:val="002E7C01"/>
    <w:rsid w:val="002F1587"/>
    <w:rsid w:val="002F201F"/>
    <w:rsid w:val="002F2271"/>
    <w:rsid w:val="002F286E"/>
    <w:rsid w:val="00302CDD"/>
    <w:rsid w:val="003054A7"/>
    <w:rsid w:val="00313E1E"/>
    <w:rsid w:val="003144AA"/>
    <w:rsid w:val="0031457C"/>
    <w:rsid w:val="00316A2F"/>
    <w:rsid w:val="00321B48"/>
    <w:rsid w:val="00321E8D"/>
    <w:rsid w:val="0032222F"/>
    <w:rsid w:val="003232CE"/>
    <w:rsid w:val="00325E90"/>
    <w:rsid w:val="0032611C"/>
    <w:rsid w:val="0032686F"/>
    <w:rsid w:val="00327BDD"/>
    <w:rsid w:val="0033166F"/>
    <w:rsid w:val="0033486C"/>
    <w:rsid w:val="00334A19"/>
    <w:rsid w:val="00334FF1"/>
    <w:rsid w:val="003357F9"/>
    <w:rsid w:val="00337E30"/>
    <w:rsid w:val="00342641"/>
    <w:rsid w:val="00342D06"/>
    <w:rsid w:val="00342EB9"/>
    <w:rsid w:val="00343464"/>
    <w:rsid w:val="0034349F"/>
    <w:rsid w:val="00344763"/>
    <w:rsid w:val="00346059"/>
    <w:rsid w:val="003521A2"/>
    <w:rsid w:val="0035288C"/>
    <w:rsid w:val="00354F27"/>
    <w:rsid w:val="00356DFE"/>
    <w:rsid w:val="003573D8"/>
    <w:rsid w:val="0035761D"/>
    <w:rsid w:val="00360801"/>
    <w:rsid w:val="00360915"/>
    <w:rsid w:val="0036157C"/>
    <w:rsid w:val="0036207D"/>
    <w:rsid w:val="00363EBE"/>
    <w:rsid w:val="00364E0E"/>
    <w:rsid w:val="003660CC"/>
    <w:rsid w:val="00370A3D"/>
    <w:rsid w:val="0037390D"/>
    <w:rsid w:val="00374A03"/>
    <w:rsid w:val="0037666D"/>
    <w:rsid w:val="00382037"/>
    <w:rsid w:val="003825DF"/>
    <w:rsid w:val="00383EB1"/>
    <w:rsid w:val="00384F18"/>
    <w:rsid w:val="00386152"/>
    <w:rsid w:val="00391052"/>
    <w:rsid w:val="00391E77"/>
    <w:rsid w:val="003922ED"/>
    <w:rsid w:val="003930FC"/>
    <w:rsid w:val="00395876"/>
    <w:rsid w:val="00396DD3"/>
    <w:rsid w:val="00397430"/>
    <w:rsid w:val="003A2A46"/>
    <w:rsid w:val="003A45D6"/>
    <w:rsid w:val="003A513E"/>
    <w:rsid w:val="003A6417"/>
    <w:rsid w:val="003A6E5A"/>
    <w:rsid w:val="003A7530"/>
    <w:rsid w:val="003B0002"/>
    <w:rsid w:val="003B119A"/>
    <w:rsid w:val="003B1BAA"/>
    <w:rsid w:val="003B3605"/>
    <w:rsid w:val="003B7B18"/>
    <w:rsid w:val="003C0B9C"/>
    <w:rsid w:val="003C153E"/>
    <w:rsid w:val="003C2389"/>
    <w:rsid w:val="003C3633"/>
    <w:rsid w:val="003C45BF"/>
    <w:rsid w:val="003C5620"/>
    <w:rsid w:val="003C5E94"/>
    <w:rsid w:val="003C6820"/>
    <w:rsid w:val="003C79DA"/>
    <w:rsid w:val="003D09DB"/>
    <w:rsid w:val="003D26D8"/>
    <w:rsid w:val="003D2F56"/>
    <w:rsid w:val="003D537B"/>
    <w:rsid w:val="003D572B"/>
    <w:rsid w:val="003D7FC7"/>
    <w:rsid w:val="003E44B0"/>
    <w:rsid w:val="003E6840"/>
    <w:rsid w:val="003F02C8"/>
    <w:rsid w:val="003F1D97"/>
    <w:rsid w:val="003F2DDE"/>
    <w:rsid w:val="003F59A0"/>
    <w:rsid w:val="003F5A55"/>
    <w:rsid w:val="003F7C19"/>
    <w:rsid w:val="0040015B"/>
    <w:rsid w:val="00400CAB"/>
    <w:rsid w:val="00401298"/>
    <w:rsid w:val="0040129C"/>
    <w:rsid w:val="004021E5"/>
    <w:rsid w:val="00403FDA"/>
    <w:rsid w:val="00407830"/>
    <w:rsid w:val="004119FF"/>
    <w:rsid w:val="004132EB"/>
    <w:rsid w:val="00416810"/>
    <w:rsid w:val="00417BFA"/>
    <w:rsid w:val="00417FE0"/>
    <w:rsid w:val="0042142C"/>
    <w:rsid w:val="004224A9"/>
    <w:rsid w:val="00422A9C"/>
    <w:rsid w:val="00423C32"/>
    <w:rsid w:val="00423DFA"/>
    <w:rsid w:val="00425265"/>
    <w:rsid w:val="00425F80"/>
    <w:rsid w:val="00426A7D"/>
    <w:rsid w:val="00426CC0"/>
    <w:rsid w:val="00427124"/>
    <w:rsid w:val="004272EF"/>
    <w:rsid w:val="004275D6"/>
    <w:rsid w:val="00427B9C"/>
    <w:rsid w:val="00430118"/>
    <w:rsid w:val="00430503"/>
    <w:rsid w:val="00432399"/>
    <w:rsid w:val="00432B89"/>
    <w:rsid w:val="004344CD"/>
    <w:rsid w:val="0043476D"/>
    <w:rsid w:val="004378E9"/>
    <w:rsid w:val="004409CE"/>
    <w:rsid w:val="00441E32"/>
    <w:rsid w:val="00442285"/>
    <w:rsid w:val="004425B7"/>
    <w:rsid w:val="00442690"/>
    <w:rsid w:val="004431D5"/>
    <w:rsid w:val="0045051B"/>
    <w:rsid w:val="00451AD0"/>
    <w:rsid w:val="0045218D"/>
    <w:rsid w:val="00455899"/>
    <w:rsid w:val="00457C9A"/>
    <w:rsid w:val="004615DC"/>
    <w:rsid w:val="004617DB"/>
    <w:rsid w:val="00462A17"/>
    <w:rsid w:val="00463FB1"/>
    <w:rsid w:val="00466749"/>
    <w:rsid w:val="00475FE6"/>
    <w:rsid w:val="00476E81"/>
    <w:rsid w:val="00477820"/>
    <w:rsid w:val="0048028C"/>
    <w:rsid w:val="004811CD"/>
    <w:rsid w:val="004822F8"/>
    <w:rsid w:val="00482865"/>
    <w:rsid w:val="00482DC9"/>
    <w:rsid w:val="00482EBF"/>
    <w:rsid w:val="00485C0F"/>
    <w:rsid w:val="0048729C"/>
    <w:rsid w:val="00491666"/>
    <w:rsid w:val="0049186B"/>
    <w:rsid w:val="00491AF3"/>
    <w:rsid w:val="00493659"/>
    <w:rsid w:val="00493DF4"/>
    <w:rsid w:val="004946B5"/>
    <w:rsid w:val="00495B79"/>
    <w:rsid w:val="00496871"/>
    <w:rsid w:val="0049746F"/>
    <w:rsid w:val="004A0847"/>
    <w:rsid w:val="004A27D4"/>
    <w:rsid w:val="004A2B71"/>
    <w:rsid w:val="004A334E"/>
    <w:rsid w:val="004A3A38"/>
    <w:rsid w:val="004A5AAF"/>
    <w:rsid w:val="004A66E4"/>
    <w:rsid w:val="004A7017"/>
    <w:rsid w:val="004B1411"/>
    <w:rsid w:val="004B1D89"/>
    <w:rsid w:val="004B228B"/>
    <w:rsid w:val="004B2391"/>
    <w:rsid w:val="004B31AB"/>
    <w:rsid w:val="004B445F"/>
    <w:rsid w:val="004B4E73"/>
    <w:rsid w:val="004C0492"/>
    <w:rsid w:val="004C0B73"/>
    <w:rsid w:val="004C1E6C"/>
    <w:rsid w:val="004C2FA4"/>
    <w:rsid w:val="004C5198"/>
    <w:rsid w:val="004C6BE0"/>
    <w:rsid w:val="004C6D5A"/>
    <w:rsid w:val="004D164F"/>
    <w:rsid w:val="004D3A14"/>
    <w:rsid w:val="004D61C7"/>
    <w:rsid w:val="004D7F85"/>
    <w:rsid w:val="004E232A"/>
    <w:rsid w:val="004E32F4"/>
    <w:rsid w:val="004E38D3"/>
    <w:rsid w:val="004E3C49"/>
    <w:rsid w:val="004E41A0"/>
    <w:rsid w:val="004E51EA"/>
    <w:rsid w:val="004F121F"/>
    <w:rsid w:val="004F264A"/>
    <w:rsid w:val="00501454"/>
    <w:rsid w:val="00502BD3"/>
    <w:rsid w:val="00503673"/>
    <w:rsid w:val="00503B6A"/>
    <w:rsid w:val="0050618E"/>
    <w:rsid w:val="0050651E"/>
    <w:rsid w:val="005112C5"/>
    <w:rsid w:val="00512D30"/>
    <w:rsid w:val="00514429"/>
    <w:rsid w:val="00521E2A"/>
    <w:rsid w:val="005220D2"/>
    <w:rsid w:val="00522B0D"/>
    <w:rsid w:val="005266E9"/>
    <w:rsid w:val="00526749"/>
    <w:rsid w:val="00527DF0"/>
    <w:rsid w:val="005309AB"/>
    <w:rsid w:val="00530C7A"/>
    <w:rsid w:val="00530D04"/>
    <w:rsid w:val="005327F9"/>
    <w:rsid w:val="00534026"/>
    <w:rsid w:val="00534B24"/>
    <w:rsid w:val="00537AF0"/>
    <w:rsid w:val="00542CE0"/>
    <w:rsid w:val="0054592E"/>
    <w:rsid w:val="0054772F"/>
    <w:rsid w:val="005506EA"/>
    <w:rsid w:val="00551DF5"/>
    <w:rsid w:val="0055282F"/>
    <w:rsid w:val="00555534"/>
    <w:rsid w:val="00570016"/>
    <w:rsid w:val="00572424"/>
    <w:rsid w:val="00572C1C"/>
    <w:rsid w:val="00572F41"/>
    <w:rsid w:val="00574011"/>
    <w:rsid w:val="0057416D"/>
    <w:rsid w:val="00575A05"/>
    <w:rsid w:val="00577AD3"/>
    <w:rsid w:val="00577F78"/>
    <w:rsid w:val="005802BA"/>
    <w:rsid w:val="0058071C"/>
    <w:rsid w:val="0058239C"/>
    <w:rsid w:val="005843FA"/>
    <w:rsid w:val="00584810"/>
    <w:rsid w:val="005848A8"/>
    <w:rsid w:val="00584ED8"/>
    <w:rsid w:val="00585577"/>
    <w:rsid w:val="00585D66"/>
    <w:rsid w:val="005879E7"/>
    <w:rsid w:val="005902EA"/>
    <w:rsid w:val="00596118"/>
    <w:rsid w:val="0059757A"/>
    <w:rsid w:val="005979F1"/>
    <w:rsid w:val="005A06A8"/>
    <w:rsid w:val="005A13E6"/>
    <w:rsid w:val="005A209D"/>
    <w:rsid w:val="005A35A6"/>
    <w:rsid w:val="005A4E93"/>
    <w:rsid w:val="005A635E"/>
    <w:rsid w:val="005A7857"/>
    <w:rsid w:val="005B0FCD"/>
    <w:rsid w:val="005B56A6"/>
    <w:rsid w:val="005B5B81"/>
    <w:rsid w:val="005B6A21"/>
    <w:rsid w:val="005B7249"/>
    <w:rsid w:val="005C1519"/>
    <w:rsid w:val="005C1DDD"/>
    <w:rsid w:val="005C3518"/>
    <w:rsid w:val="005C5C3E"/>
    <w:rsid w:val="005C6C03"/>
    <w:rsid w:val="005D07BD"/>
    <w:rsid w:val="005D617E"/>
    <w:rsid w:val="005D7C49"/>
    <w:rsid w:val="005E0D18"/>
    <w:rsid w:val="005E179C"/>
    <w:rsid w:val="005E2B0B"/>
    <w:rsid w:val="005E325A"/>
    <w:rsid w:val="005E4793"/>
    <w:rsid w:val="005E5BA6"/>
    <w:rsid w:val="005E6408"/>
    <w:rsid w:val="005F44A5"/>
    <w:rsid w:val="005F45A1"/>
    <w:rsid w:val="005F67CD"/>
    <w:rsid w:val="005F6B97"/>
    <w:rsid w:val="005F6D8C"/>
    <w:rsid w:val="006005CF"/>
    <w:rsid w:val="00601AFA"/>
    <w:rsid w:val="00601B20"/>
    <w:rsid w:val="0060358E"/>
    <w:rsid w:val="00604493"/>
    <w:rsid w:val="00606099"/>
    <w:rsid w:val="00607244"/>
    <w:rsid w:val="0061243E"/>
    <w:rsid w:val="006136AE"/>
    <w:rsid w:val="00613A7E"/>
    <w:rsid w:val="00614E62"/>
    <w:rsid w:val="0061500C"/>
    <w:rsid w:val="00616880"/>
    <w:rsid w:val="006207A7"/>
    <w:rsid w:val="0062317F"/>
    <w:rsid w:val="006236A8"/>
    <w:rsid w:val="006241E2"/>
    <w:rsid w:val="0062541E"/>
    <w:rsid w:val="00626BDC"/>
    <w:rsid w:val="006276A5"/>
    <w:rsid w:val="00630596"/>
    <w:rsid w:val="00630932"/>
    <w:rsid w:val="00631E8C"/>
    <w:rsid w:val="00632686"/>
    <w:rsid w:val="00633098"/>
    <w:rsid w:val="006363D8"/>
    <w:rsid w:val="00637049"/>
    <w:rsid w:val="00640146"/>
    <w:rsid w:val="00640B68"/>
    <w:rsid w:val="00641915"/>
    <w:rsid w:val="00641A82"/>
    <w:rsid w:val="006421B2"/>
    <w:rsid w:val="00642A38"/>
    <w:rsid w:val="00643CA5"/>
    <w:rsid w:val="00644504"/>
    <w:rsid w:val="0064548E"/>
    <w:rsid w:val="00645C3D"/>
    <w:rsid w:val="0065026E"/>
    <w:rsid w:val="006509E3"/>
    <w:rsid w:val="0065137F"/>
    <w:rsid w:val="00656A00"/>
    <w:rsid w:val="006618F2"/>
    <w:rsid w:val="00661B43"/>
    <w:rsid w:val="00662610"/>
    <w:rsid w:val="00662C42"/>
    <w:rsid w:val="00664042"/>
    <w:rsid w:val="00664A5C"/>
    <w:rsid w:val="0067038F"/>
    <w:rsid w:val="00670B78"/>
    <w:rsid w:val="00670EC2"/>
    <w:rsid w:val="006715FF"/>
    <w:rsid w:val="00672077"/>
    <w:rsid w:val="006725FE"/>
    <w:rsid w:val="00672E41"/>
    <w:rsid w:val="0067326B"/>
    <w:rsid w:val="0067350C"/>
    <w:rsid w:val="00673C06"/>
    <w:rsid w:val="00681450"/>
    <w:rsid w:val="00681CB7"/>
    <w:rsid w:val="006826DF"/>
    <w:rsid w:val="006836F9"/>
    <w:rsid w:val="00684941"/>
    <w:rsid w:val="00690A9B"/>
    <w:rsid w:val="006912B3"/>
    <w:rsid w:val="0069191A"/>
    <w:rsid w:val="00691964"/>
    <w:rsid w:val="00692EC4"/>
    <w:rsid w:val="00693873"/>
    <w:rsid w:val="00693B14"/>
    <w:rsid w:val="00694374"/>
    <w:rsid w:val="006960E2"/>
    <w:rsid w:val="00696AB8"/>
    <w:rsid w:val="00696F08"/>
    <w:rsid w:val="006976C7"/>
    <w:rsid w:val="00697D78"/>
    <w:rsid w:val="006A28FD"/>
    <w:rsid w:val="006A3088"/>
    <w:rsid w:val="006A3C94"/>
    <w:rsid w:val="006A3E42"/>
    <w:rsid w:val="006A4157"/>
    <w:rsid w:val="006A4C40"/>
    <w:rsid w:val="006A69E4"/>
    <w:rsid w:val="006A6D50"/>
    <w:rsid w:val="006A7AA4"/>
    <w:rsid w:val="006B0923"/>
    <w:rsid w:val="006B436F"/>
    <w:rsid w:val="006B560B"/>
    <w:rsid w:val="006B6633"/>
    <w:rsid w:val="006B703E"/>
    <w:rsid w:val="006B778C"/>
    <w:rsid w:val="006B7D06"/>
    <w:rsid w:val="006C0426"/>
    <w:rsid w:val="006C2653"/>
    <w:rsid w:val="006C34ED"/>
    <w:rsid w:val="006C41F6"/>
    <w:rsid w:val="006C45B8"/>
    <w:rsid w:val="006C4D0D"/>
    <w:rsid w:val="006C6D49"/>
    <w:rsid w:val="006C7375"/>
    <w:rsid w:val="006D1344"/>
    <w:rsid w:val="006D4A64"/>
    <w:rsid w:val="006D58C6"/>
    <w:rsid w:val="006D6B85"/>
    <w:rsid w:val="006D7832"/>
    <w:rsid w:val="006E26AE"/>
    <w:rsid w:val="006E3A68"/>
    <w:rsid w:val="006E450B"/>
    <w:rsid w:val="006E4DC0"/>
    <w:rsid w:val="006E54A6"/>
    <w:rsid w:val="006E7171"/>
    <w:rsid w:val="006F0CD9"/>
    <w:rsid w:val="006F1B88"/>
    <w:rsid w:val="007009F5"/>
    <w:rsid w:val="007028F1"/>
    <w:rsid w:val="0070329E"/>
    <w:rsid w:val="00703BCD"/>
    <w:rsid w:val="00704BDC"/>
    <w:rsid w:val="007059D1"/>
    <w:rsid w:val="007106D9"/>
    <w:rsid w:val="0071573E"/>
    <w:rsid w:val="00716644"/>
    <w:rsid w:val="00721CCA"/>
    <w:rsid w:val="00723246"/>
    <w:rsid w:val="00723DF6"/>
    <w:rsid w:val="0072527C"/>
    <w:rsid w:val="00727FDF"/>
    <w:rsid w:val="00732280"/>
    <w:rsid w:val="00733CEA"/>
    <w:rsid w:val="007372FA"/>
    <w:rsid w:val="00737C55"/>
    <w:rsid w:val="00740DE7"/>
    <w:rsid w:val="00741B6F"/>
    <w:rsid w:val="007423DC"/>
    <w:rsid w:val="00743E89"/>
    <w:rsid w:val="00744042"/>
    <w:rsid w:val="00744713"/>
    <w:rsid w:val="0074515D"/>
    <w:rsid w:val="00745CB4"/>
    <w:rsid w:val="00745DE0"/>
    <w:rsid w:val="007463B8"/>
    <w:rsid w:val="00752023"/>
    <w:rsid w:val="007522AE"/>
    <w:rsid w:val="007550D8"/>
    <w:rsid w:val="00755B0A"/>
    <w:rsid w:val="007608C4"/>
    <w:rsid w:val="00761144"/>
    <w:rsid w:val="007618EA"/>
    <w:rsid w:val="00763E98"/>
    <w:rsid w:val="00764BD4"/>
    <w:rsid w:val="00765A4B"/>
    <w:rsid w:val="0076713C"/>
    <w:rsid w:val="00767FE4"/>
    <w:rsid w:val="00771FB6"/>
    <w:rsid w:val="007742FB"/>
    <w:rsid w:val="00775EE9"/>
    <w:rsid w:val="00775F5E"/>
    <w:rsid w:val="00776979"/>
    <w:rsid w:val="007770AA"/>
    <w:rsid w:val="007807A4"/>
    <w:rsid w:val="0078162E"/>
    <w:rsid w:val="00782569"/>
    <w:rsid w:val="00785319"/>
    <w:rsid w:val="00785947"/>
    <w:rsid w:val="00786183"/>
    <w:rsid w:val="00786700"/>
    <w:rsid w:val="00787BD7"/>
    <w:rsid w:val="007906FE"/>
    <w:rsid w:val="007907E0"/>
    <w:rsid w:val="0079225A"/>
    <w:rsid w:val="00792888"/>
    <w:rsid w:val="00794351"/>
    <w:rsid w:val="00796B7E"/>
    <w:rsid w:val="00796BC3"/>
    <w:rsid w:val="007970FE"/>
    <w:rsid w:val="007973DC"/>
    <w:rsid w:val="007A1E37"/>
    <w:rsid w:val="007A3551"/>
    <w:rsid w:val="007A4164"/>
    <w:rsid w:val="007A5F10"/>
    <w:rsid w:val="007A798D"/>
    <w:rsid w:val="007B0E22"/>
    <w:rsid w:val="007B1B79"/>
    <w:rsid w:val="007B2A25"/>
    <w:rsid w:val="007B351B"/>
    <w:rsid w:val="007B3576"/>
    <w:rsid w:val="007B406B"/>
    <w:rsid w:val="007B4C48"/>
    <w:rsid w:val="007B68DC"/>
    <w:rsid w:val="007C08AE"/>
    <w:rsid w:val="007C307E"/>
    <w:rsid w:val="007C33FF"/>
    <w:rsid w:val="007C4E8E"/>
    <w:rsid w:val="007D055A"/>
    <w:rsid w:val="007D092B"/>
    <w:rsid w:val="007D219E"/>
    <w:rsid w:val="007D63C7"/>
    <w:rsid w:val="007D66BA"/>
    <w:rsid w:val="007D7A09"/>
    <w:rsid w:val="007E0EB6"/>
    <w:rsid w:val="007E135C"/>
    <w:rsid w:val="007E6945"/>
    <w:rsid w:val="007E7914"/>
    <w:rsid w:val="007F02D5"/>
    <w:rsid w:val="007F215F"/>
    <w:rsid w:val="007F6F79"/>
    <w:rsid w:val="007F79E6"/>
    <w:rsid w:val="0080047D"/>
    <w:rsid w:val="008006AF"/>
    <w:rsid w:val="00800967"/>
    <w:rsid w:val="00801011"/>
    <w:rsid w:val="00804AD9"/>
    <w:rsid w:val="008050EB"/>
    <w:rsid w:val="0080521C"/>
    <w:rsid w:val="00806969"/>
    <w:rsid w:val="00806A7D"/>
    <w:rsid w:val="00811663"/>
    <w:rsid w:val="00811A55"/>
    <w:rsid w:val="00811E9A"/>
    <w:rsid w:val="00813BA0"/>
    <w:rsid w:val="00813BBB"/>
    <w:rsid w:val="00816FBE"/>
    <w:rsid w:val="008210A5"/>
    <w:rsid w:val="0082198B"/>
    <w:rsid w:val="0082244C"/>
    <w:rsid w:val="008240B5"/>
    <w:rsid w:val="00824684"/>
    <w:rsid w:val="008262D0"/>
    <w:rsid w:val="0083032A"/>
    <w:rsid w:val="008317F1"/>
    <w:rsid w:val="00831FA2"/>
    <w:rsid w:val="00832021"/>
    <w:rsid w:val="00841EC2"/>
    <w:rsid w:val="00842E29"/>
    <w:rsid w:val="00844E25"/>
    <w:rsid w:val="00845298"/>
    <w:rsid w:val="008456EC"/>
    <w:rsid w:val="00847FF3"/>
    <w:rsid w:val="00856DE0"/>
    <w:rsid w:val="00857898"/>
    <w:rsid w:val="008607EE"/>
    <w:rsid w:val="00861DF0"/>
    <w:rsid w:val="00862AF2"/>
    <w:rsid w:val="00865101"/>
    <w:rsid w:val="00866122"/>
    <w:rsid w:val="0086620F"/>
    <w:rsid w:val="008667D0"/>
    <w:rsid w:val="00866EF2"/>
    <w:rsid w:val="008730E6"/>
    <w:rsid w:val="008751EB"/>
    <w:rsid w:val="008755A9"/>
    <w:rsid w:val="00881669"/>
    <w:rsid w:val="00883773"/>
    <w:rsid w:val="00884762"/>
    <w:rsid w:val="00884D57"/>
    <w:rsid w:val="00885204"/>
    <w:rsid w:val="00885512"/>
    <w:rsid w:val="00886D20"/>
    <w:rsid w:val="00892886"/>
    <w:rsid w:val="00893948"/>
    <w:rsid w:val="00894834"/>
    <w:rsid w:val="00894CD6"/>
    <w:rsid w:val="00896FC9"/>
    <w:rsid w:val="00897D10"/>
    <w:rsid w:val="00897FDD"/>
    <w:rsid w:val="008A1AC8"/>
    <w:rsid w:val="008A2DD9"/>
    <w:rsid w:val="008A2EE2"/>
    <w:rsid w:val="008A360D"/>
    <w:rsid w:val="008A3EFD"/>
    <w:rsid w:val="008A4E21"/>
    <w:rsid w:val="008A6806"/>
    <w:rsid w:val="008A723A"/>
    <w:rsid w:val="008B2E8D"/>
    <w:rsid w:val="008B58A5"/>
    <w:rsid w:val="008B5FAF"/>
    <w:rsid w:val="008C1D31"/>
    <w:rsid w:val="008C33AC"/>
    <w:rsid w:val="008C4A58"/>
    <w:rsid w:val="008C513E"/>
    <w:rsid w:val="008D064C"/>
    <w:rsid w:val="008D2062"/>
    <w:rsid w:val="008D362B"/>
    <w:rsid w:val="008D3C53"/>
    <w:rsid w:val="008D3E11"/>
    <w:rsid w:val="008D4667"/>
    <w:rsid w:val="008D6424"/>
    <w:rsid w:val="008D7491"/>
    <w:rsid w:val="008E0F50"/>
    <w:rsid w:val="008E1A81"/>
    <w:rsid w:val="008E1CE2"/>
    <w:rsid w:val="008E49D9"/>
    <w:rsid w:val="008E70B3"/>
    <w:rsid w:val="008E7B2E"/>
    <w:rsid w:val="008F0314"/>
    <w:rsid w:val="008F22AB"/>
    <w:rsid w:val="008F28C5"/>
    <w:rsid w:val="008F4934"/>
    <w:rsid w:val="008F4ED6"/>
    <w:rsid w:val="008F5514"/>
    <w:rsid w:val="008F563B"/>
    <w:rsid w:val="008F5E65"/>
    <w:rsid w:val="008F5EFE"/>
    <w:rsid w:val="008F7761"/>
    <w:rsid w:val="009024F9"/>
    <w:rsid w:val="009039F6"/>
    <w:rsid w:val="00905519"/>
    <w:rsid w:val="00905B93"/>
    <w:rsid w:val="00905C3E"/>
    <w:rsid w:val="00907427"/>
    <w:rsid w:val="00907798"/>
    <w:rsid w:val="00913D90"/>
    <w:rsid w:val="009150CB"/>
    <w:rsid w:val="00915412"/>
    <w:rsid w:val="0091585C"/>
    <w:rsid w:val="00916D49"/>
    <w:rsid w:val="0091762D"/>
    <w:rsid w:val="009206F1"/>
    <w:rsid w:val="00920985"/>
    <w:rsid w:val="00922259"/>
    <w:rsid w:val="009229F4"/>
    <w:rsid w:val="00922C0F"/>
    <w:rsid w:val="00922FCD"/>
    <w:rsid w:val="00923A13"/>
    <w:rsid w:val="0092474C"/>
    <w:rsid w:val="009253F2"/>
    <w:rsid w:val="0092589E"/>
    <w:rsid w:val="00926C99"/>
    <w:rsid w:val="009304BE"/>
    <w:rsid w:val="00933FDF"/>
    <w:rsid w:val="00937918"/>
    <w:rsid w:val="00937E0E"/>
    <w:rsid w:val="00942588"/>
    <w:rsid w:val="00942652"/>
    <w:rsid w:val="00942A0D"/>
    <w:rsid w:val="00944D19"/>
    <w:rsid w:val="0094522D"/>
    <w:rsid w:val="00945A97"/>
    <w:rsid w:val="00945C4C"/>
    <w:rsid w:val="00946686"/>
    <w:rsid w:val="00955769"/>
    <w:rsid w:val="00955E6F"/>
    <w:rsid w:val="00956807"/>
    <w:rsid w:val="009577DD"/>
    <w:rsid w:val="0096092D"/>
    <w:rsid w:val="00960E46"/>
    <w:rsid w:val="0096381F"/>
    <w:rsid w:val="009641A4"/>
    <w:rsid w:val="00965CD0"/>
    <w:rsid w:val="00972247"/>
    <w:rsid w:val="00973B91"/>
    <w:rsid w:val="00975B59"/>
    <w:rsid w:val="00975DD0"/>
    <w:rsid w:val="00976EC4"/>
    <w:rsid w:val="00977A7A"/>
    <w:rsid w:val="00981563"/>
    <w:rsid w:val="0098203F"/>
    <w:rsid w:val="00982E85"/>
    <w:rsid w:val="009831EA"/>
    <w:rsid w:val="00986B6A"/>
    <w:rsid w:val="0099232D"/>
    <w:rsid w:val="009935EB"/>
    <w:rsid w:val="00994807"/>
    <w:rsid w:val="00996BF4"/>
    <w:rsid w:val="009A1908"/>
    <w:rsid w:val="009A56EA"/>
    <w:rsid w:val="009A5D45"/>
    <w:rsid w:val="009A5DB1"/>
    <w:rsid w:val="009A7A39"/>
    <w:rsid w:val="009B1E53"/>
    <w:rsid w:val="009B4931"/>
    <w:rsid w:val="009B609B"/>
    <w:rsid w:val="009B68E2"/>
    <w:rsid w:val="009C0011"/>
    <w:rsid w:val="009C06E9"/>
    <w:rsid w:val="009C21B9"/>
    <w:rsid w:val="009C278C"/>
    <w:rsid w:val="009C3F90"/>
    <w:rsid w:val="009C4122"/>
    <w:rsid w:val="009C5D76"/>
    <w:rsid w:val="009C5EA6"/>
    <w:rsid w:val="009D3282"/>
    <w:rsid w:val="009D3F04"/>
    <w:rsid w:val="009D4855"/>
    <w:rsid w:val="009D6623"/>
    <w:rsid w:val="009D6CED"/>
    <w:rsid w:val="009D72B0"/>
    <w:rsid w:val="009D7DE1"/>
    <w:rsid w:val="009E0341"/>
    <w:rsid w:val="009E1420"/>
    <w:rsid w:val="009E18B6"/>
    <w:rsid w:val="009E2631"/>
    <w:rsid w:val="009E270E"/>
    <w:rsid w:val="009E2D0E"/>
    <w:rsid w:val="009E373F"/>
    <w:rsid w:val="009E3804"/>
    <w:rsid w:val="009E3835"/>
    <w:rsid w:val="009E625C"/>
    <w:rsid w:val="009E63DF"/>
    <w:rsid w:val="009E78AF"/>
    <w:rsid w:val="009F17F3"/>
    <w:rsid w:val="009F29BE"/>
    <w:rsid w:val="009F365C"/>
    <w:rsid w:val="009F381C"/>
    <w:rsid w:val="009F42C4"/>
    <w:rsid w:val="009F53A8"/>
    <w:rsid w:val="009F596A"/>
    <w:rsid w:val="009F7052"/>
    <w:rsid w:val="009F799F"/>
    <w:rsid w:val="009F7B1D"/>
    <w:rsid w:val="00A022FF"/>
    <w:rsid w:val="00A02D78"/>
    <w:rsid w:val="00A05DA2"/>
    <w:rsid w:val="00A06DCA"/>
    <w:rsid w:val="00A071D4"/>
    <w:rsid w:val="00A07F13"/>
    <w:rsid w:val="00A11BFC"/>
    <w:rsid w:val="00A12487"/>
    <w:rsid w:val="00A12E01"/>
    <w:rsid w:val="00A1394B"/>
    <w:rsid w:val="00A13FC4"/>
    <w:rsid w:val="00A15E26"/>
    <w:rsid w:val="00A1611D"/>
    <w:rsid w:val="00A206D8"/>
    <w:rsid w:val="00A2136A"/>
    <w:rsid w:val="00A21CEF"/>
    <w:rsid w:val="00A229B4"/>
    <w:rsid w:val="00A22BBC"/>
    <w:rsid w:val="00A22BDF"/>
    <w:rsid w:val="00A25B3A"/>
    <w:rsid w:val="00A25BE2"/>
    <w:rsid w:val="00A26A69"/>
    <w:rsid w:val="00A30208"/>
    <w:rsid w:val="00A302B4"/>
    <w:rsid w:val="00A31AC6"/>
    <w:rsid w:val="00A33108"/>
    <w:rsid w:val="00A332D3"/>
    <w:rsid w:val="00A33C6A"/>
    <w:rsid w:val="00A400DE"/>
    <w:rsid w:val="00A421AC"/>
    <w:rsid w:val="00A427E3"/>
    <w:rsid w:val="00A43B36"/>
    <w:rsid w:val="00A44C06"/>
    <w:rsid w:val="00A47D5C"/>
    <w:rsid w:val="00A50F81"/>
    <w:rsid w:val="00A51839"/>
    <w:rsid w:val="00A51936"/>
    <w:rsid w:val="00A55BF4"/>
    <w:rsid w:val="00A56565"/>
    <w:rsid w:val="00A5712A"/>
    <w:rsid w:val="00A62974"/>
    <w:rsid w:val="00A62B89"/>
    <w:rsid w:val="00A64B03"/>
    <w:rsid w:val="00A64F53"/>
    <w:rsid w:val="00A6527C"/>
    <w:rsid w:val="00A65A9B"/>
    <w:rsid w:val="00A65D39"/>
    <w:rsid w:val="00A7228A"/>
    <w:rsid w:val="00A727BD"/>
    <w:rsid w:val="00A736BE"/>
    <w:rsid w:val="00A73ACB"/>
    <w:rsid w:val="00A807C3"/>
    <w:rsid w:val="00A876C6"/>
    <w:rsid w:val="00A87E6D"/>
    <w:rsid w:val="00A914D1"/>
    <w:rsid w:val="00A92AD9"/>
    <w:rsid w:val="00A92FF3"/>
    <w:rsid w:val="00A9762B"/>
    <w:rsid w:val="00AA2EF0"/>
    <w:rsid w:val="00AA399E"/>
    <w:rsid w:val="00AA3E6C"/>
    <w:rsid w:val="00AA637D"/>
    <w:rsid w:val="00AA7014"/>
    <w:rsid w:val="00AA74C4"/>
    <w:rsid w:val="00AA7D63"/>
    <w:rsid w:val="00AB14A7"/>
    <w:rsid w:val="00AB2018"/>
    <w:rsid w:val="00AB229B"/>
    <w:rsid w:val="00AB2386"/>
    <w:rsid w:val="00AB25F5"/>
    <w:rsid w:val="00AB3BEF"/>
    <w:rsid w:val="00AB4CE2"/>
    <w:rsid w:val="00AB5D61"/>
    <w:rsid w:val="00AB621B"/>
    <w:rsid w:val="00AB6D8C"/>
    <w:rsid w:val="00AC03F5"/>
    <w:rsid w:val="00AC0DB8"/>
    <w:rsid w:val="00AC1835"/>
    <w:rsid w:val="00AC24F0"/>
    <w:rsid w:val="00AC3491"/>
    <w:rsid w:val="00AC51FC"/>
    <w:rsid w:val="00AC53AA"/>
    <w:rsid w:val="00AC5FDB"/>
    <w:rsid w:val="00AD0AC2"/>
    <w:rsid w:val="00AD1750"/>
    <w:rsid w:val="00AD2830"/>
    <w:rsid w:val="00AD4A58"/>
    <w:rsid w:val="00AD5F9A"/>
    <w:rsid w:val="00AE2223"/>
    <w:rsid w:val="00AE2890"/>
    <w:rsid w:val="00AE6FF0"/>
    <w:rsid w:val="00AE7923"/>
    <w:rsid w:val="00AF0FF0"/>
    <w:rsid w:val="00AF1281"/>
    <w:rsid w:val="00AF16F0"/>
    <w:rsid w:val="00AF1848"/>
    <w:rsid w:val="00AF2AED"/>
    <w:rsid w:val="00AF3561"/>
    <w:rsid w:val="00AF3699"/>
    <w:rsid w:val="00AF39EE"/>
    <w:rsid w:val="00AF63CB"/>
    <w:rsid w:val="00AF6A32"/>
    <w:rsid w:val="00B01A7D"/>
    <w:rsid w:val="00B031FF"/>
    <w:rsid w:val="00B040CE"/>
    <w:rsid w:val="00B0548B"/>
    <w:rsid w:val="00B10769"/>
    <w:rsid w:val="00B11683"/>
    <w:rsid w:val="00B12301"/>
    <w:rsid w:val="00B156D6"/>
    <w:rsid w:val="00B16285"/>
    <w:rsid w:val="00B21EDC"/>
    <w:rsid w:val="00B244E2"/>
    <w:rsid w:val="00B248A2"/>
    <w:rsid w:val="00B2658E"/>
    <w:rsid w:val="00B27213"/>
    <w:rsid w:val="00B275D0"/>
    <w:rsid w:val="00B27879"/>
    <w:rsid w:val="00B312E2"/>
    <w:rsid w:val="00B327B7"/>
    <w:rsid w:val="00B3438C"/>
    <w:rsid w:val="00B34EF6"/>
    <w:rsid w:val="00B3689D"/>
    <w:rsid w:val="00B40050"/>
    <w:rsid w:val="00B43F3A"/>
    <w:rsid w:val="00B46B39"/>
    <w:rsid w:val="00B476C2"/>
    <w:rsid w:val="00B562D7"/>
    <w:rsid w:val="00B611CB"/>
    <w:rsid w:val="00B62695"/>
    <w:rsid w:val="00B6304D"/>
    <w:rsid w:val="00B63CB1"/>
    <w:rsid w:val="00B63D2D"/>
    <w:rsid w:val="00B66953"/>
    <w:rsid w:val="00B66959"/>
    <w:rsid w:val="00B70699"/>
    <w:rsid w:val="00B70F45"/>
    <w:rsid w:val="00B7185E"/>
    <w:rsid w:val="00B72946"/>
    <w:rsid w:val="00B7302D"/>
    <w:rsid w:val="00B73E54"/>
    <w:rsid w:val="00B75C3F"/>
    <w:rsid w:val="00B803B1"/>
    <w:rsid w:val="00B8374A"/>
    <w:rsid w:val="00B84CB7"/>
    <w:rsid w:val="00B87BEB"/>
    <w:rsid w:val="00B92644"/>
    <w:rsid w:val="00B949B2"/>
    <w:rsid w:val="00B9729A"/>
    <w:rsid w:val="00BA55F7"/>
    <w:rsid w:val="00BA62B2"/>
    <w:rsid w:val="00BA79D7"/>
    <w:rsid w:val="00BB05F3"/>
    <w:rsid w:val="00BB15BA"/>
    <w:rsid w:val="00BB175E"/>
    <w:rsid w:val="00BB2112"/>
    <w:rsid w:val="00BB26C3"/>
    <w:rsid w:val="00BB3B98"/>
    <w:rsid w:val="00BB3BA5"/>
    <w:rsid w:val="00BB4D3C"/>
    <w:rsid w:val="00BB7C1E"/>
    <w:rsid w:val="00BC3DC4"/>
    <w:rsid w:val="00BC4885"/>
    <w:rsid w:val="00BC5EB4"/>
    <w:rsid w:val="00BC6701"/>
    <w:rsid w:val="00BD23EC"/>
    <w:rsid w:val="00BD2540"/>
    <w:rsid w:val="00BD2B5F"/>
    <w:rsid w:val="00BD368E"/>
    <w:rsid w:val="00BD4B8A"/>
    <w:rsid w:val="00BD50F5"/>
    <w:rsid w:val="00BD7148"/>
    <w:rsid w:val="00BD746B"/>
    <w:rsid w:val="00BE012E"/>
    <w:rsid w:val="00BE033A"/>
    <w:rsid w:val="00BE03A5"/>
    <w:rsid w:val="00BE3B23"/>
    <w:rsid w:val="00BE448D"/>
    <w:rsid w:val="00BE471B"/>
    <w:rsid w:val="00BE4D77"/>
    <w:rsid w:val="00BE63BC"/>
    <w:rsid w:val="00BE676A"/>
    <w:rsid w:val="00BE6C75"/>
    <w:rsid w:val="00BE6D5E"/>
    <w:rsid w:val="00BE7C72"/>
    <w:rsid w:val="00BF136F"/>
    <w:rsid w:val="00BF1543"/>
    <w:rsid w:val="00BF1DEA"/>
    <w:rsid w:val="00BF2797"/>
    <w:rsid w:val="00BF3525"/>
    <w:rsid w:val="00BF36B6"/>
    <w:rsid w:val="00BF458E"/>
    <w:rsid w:val="00BF4E4D"/>
    <w:rsid w:val="00BF66CB"/>
    <w:rsid w:val="00BF6E1B"/>
    <w:rsid w:val="00C00705"/>
    <w:rsid w:val="00C01939"/>
    <w:rsid w:val="00C01C01"/>
    <w:rsid w:val="00C02C0D"/>
    <w:rsid w:val="00C02E9B"/>
    <w:rsid w:val="00C049EE"/>
    <w:rsid w:val="00C07008"/>
    <w:rsid w:val="00C079B4"/>
    <w:rsid w:val="00C07AD5"/>
    <w:rsid w:val="00C07F38"/>
    <w:rsid w:val="00C101B8"/>
    <w:rsid w:val="00C10294"/>
    <w:rsid w:val="00C10420"/>
    <w:rsid w:val="00C117C0"/>
    <w:rsid w:val="00C12B33"/>
    <w:rsid w:val="00C13217"/>
    <w:rsid w:val="00C14142"/>
    <w:rsid w:val="00C148A1"/>
    <w:rsid w:val="00C15B8C"/>
    <w:rsid w:val="00C1713E"/>
    <w:rsid w:val="00C2259C"/>
    <w:rsid w:val="00C24AF1"/>
    <w:rsid w:val="00C265D8"/>
    <w:rsid w:val="00C30723"/>
    <w:rsid w:val="00C30A42"/>
    <w:rsid w:val="00C3157E"/>
    <w:rsid w:val="00C32D40"/>
    <w:rsid w:val="00C3336A"/>
    <w:rsid w:val="00C34A36"/>
    <w:rsid w:val="00C365A5"/>
    <w:rsid w:val="00C369DD"/>
    <w:rsid w:val="00C40DE7"/>
    <w:rsid w:val="00C45988"/>
    <w:rsid w:val="00C4795D"/>
    <w:rsid w:val="00C47DE8"/>
    <w:rsid w:val="00C50916"/>
    <w:rsid w:val="00C50D25"/>
    <w:rsid w:val="00C50EE2"/>
    <w:rsid w:val="00C53F0F"/>
    <w:rsid w:val="00C5594D"/>
    <w:rsid w:val="00C57760"/>
    <w:rsid w:val="00C6087B"/>
    <w:rsid w:val="00C61362"/>
    <w:rsid w:val="00C64449"/>
    <w:rsid w:val="00C647FC"/>
    <w:rsid w:val="00C665C4"/>
    <w:rsid w:val="00C67903"/>
    <w:rsid w:val="00C67F9D"/>
    <w:rsid w:val="00C706A3"/>
    <w:rsid w:val="00C712A0"/>
    <w:rsid w:val="00C71D3A"/>
    <w:rsid w:val="00C72789"/>
    <w:rsid w:val="00C72B17"/>
    <w:rsid w:val="00C7553C"/>
    <w:rsid w:val="00C82A99"/>
    <w:rsid w:val="00C830F0"/>
    <w:rsid w:val="00C83C67"/>
    <w:rsid w:val="00C84F98"/>
    <w:rsid w:val="00C85613"/>
    <w:rsid w:val="00C958E0"/>
    <w:rsid w:val="00C96360"/>
    <w:rsid w:val="00CA24C7"/>
    <w:rsid w:val="00CA36D4"/>
    <w:rsid w:val="00CA5AA3"/>
    <w:rsid w:val="00CA5D08"/>
    <w:rsid w:val="00CA602B"/>
    <w:rsid w:val="00CB055D"/>
    <w:rsid w:val="00CB0736"/>
    <w:rsid w:val="00CB4372"/>
    <w:rsid w:val="00CB4825"/>
    <w:rsid w:val="00CB4F42"/>
    <w:rsid w:val="00CB5892"/>
    <w:rsid w:val="00CB5A31"/>
    <w:rsid w:val="00CB788D"/>
    <w:rsid w:val="00CC1582"/>
    <w:rsid w:val="00CC1B44"/>
    <w:rsid w:val="00CC2988"/>
    <w:rsid w:val="00CC3212"/>
    <w:rsid w:val="00CC3C48"/>
    <w:rsid w:val="00CC3CEF"/>
    <w:rsid w:val="00CD1913"/>
    <w:rsid w:val="00CD257C"/>
    <w:rsid w:val="00CD646A"/>
    <w:rsid w:val="00CD688B"/>
    <w:rsid w:val="00CD68FA"/>
    <w:rsid w:val="00CD6AFF"/>
    <w:rsid w:val="00CD766C"/>
    <w:rsid w:val="00CE0129"/>
    <w:rsid w:val="00CE1079"/>
    <w:rsid w:val="00CE10C2"/>
    <w:rsid w:val="00CE22D0"/>
    <w:rsid w:val="00CE3E17"/>
    <w:rsid w:val="00CE53B5"/>
    <w:rsid w:val="00CE54DE"/>
    <w:rsid w:val="00CF06F8"/>
    <w:rsid w:val="00CF314A"/>
    <w:rsid w:val="00CF3176"/>
    <w:rsid w:val="00CF3818"/>
    <w:rsid w:val="00D0171B"/>
    <w:rsid w:val="00D01D06"/>
    <w:rsid w:val="00D02029"/>
    <w:rsid w:val="00D024A2"/>
    <w:rsid w:val="00D02CEA"/>
    <w:rsid w:val="00D05175"/>
    <w:rsid w:val="00D05924"/>
    <w:rsid w:val="00D07AFA"/>
    <w:rsid w:val="00D1100F"/>
    <w:rsid w:val="00D14E3E"/>
    <w:rsid w:val="00D17C48"/>
    <w:rsid w:val="00D201E0"/>
    <w:rsid w:val="00D204E5"/>
    <w:rsid w:val="00D2113B"/>
    <w:rsid w:val="00D251A9"/>
    <w:rsid w:val="00D26B41"/>
    <w:rsid w:val="00D27325"/>
    <w:rsid w:val="00D31C77"/>
    <w:rsid w:val="00D33342"/>
    <w:rsid w:val="00D34D02"/>
    <w:rsid w:val="00D362BC"/>
    <w:rsid w:val="00D3641A"/>
    <w:rsid w:val="00D36955"/>
    <w:rsid w:val="00D37962"/>
    <w:rsid w:val="00D37968"/>
    <w:rsid w:val="00D37E4F"/>
    <w:rsid w:val="00D40544"/>
    <w:rsid w:val="00D41D5D"/>
    <w:rsid w:val="00D535B3"/>
    <w:rsid w:val="00D5413F"/>
    <w:rsid w:val="00D54588"/>
    <w:rsid w:val="00D564A5"/>
    <w:rsid w:val="00D565FD"/>
    <w:rsid w:val="00D57ADF"/>
    <w:rsid w:val="00D57E81"/>
    <w:rsid w:val="00D61126"/>
    <w:rsid w:val="00D64551"/>
    <w:rsid w:val="00D655BC"/>
    <w:rsid w:val="00D7208D"/>
    <w:rsid w:val="00D75367"/>
    <w:rsid w:val="00D768C2"/>
    <w:rsid w:val="00D8201B"/>
    <w:rsid w:val="00D85BED"/>
    <w:rsid w:val="00D8644C"/>
    <w:rsid w:val="00D86900"/>
    <w:rsid w:val="00D86B41"/>
    <w:rsid w:val="00D87CE9"/>
    <w:rsid w:val="00D920C1"/>
    <w:rsid w:val="00D95121"/>
    <w:rsid w:val="00D95426"/>
    <w:rsid w:val="00D95F31"/>
    <w:rsid w:val="00D965CA"/>
    <w:rsid w:val="00D96AEB"/>
    <w:rsid w:val="00D97D3A"/>
    <w:rsid w:val="00DA35BF"/>
    <w:rsid w:val="00DA42CD"/>
    <w:rsid w:val="00DA46C9"/>
    <w:rsid w:val="00DA4C05"/>
    <w:rsid w:val="00DA523C"/>
    <w:rsid w:val="00DA6CDD"/>
    <w:rsid w:val="00DB1C9A"/>
    <w:rsid w:val="00DB23E2"/>
    <w:rsid w:val="00DB36A1"/>
    <w:rsid w:val="00DB6A67"/>
    <w:rsid w:val="00DB7ACC"/>
    <w:rsid w:val="00DB7C62"/>
    <w:rsid w:val="00DB7DD2"/>
    <w:rsid w:val="00DC1F00"/>
    <w:rsid w:val="00DC2343"/>
    <w:rsid w:val="00DC2F07"/>
    <w:rsid w:val="00DC6C1F"/>
    <w:rsid w:val="00DC700C"/>
    <w:rsid w:val="00DC749F"/>
    <w:rsid w:val="00DD0584"/>
    <w:rsid w:val="00DD0837"/>
    <w:rsid w:val="00DD1D9F"/>
    <w:rsid w:val="00DD62B7"/>
    <w:rsid w:val="00DD6DEA"/>
    <w:rsid w:val="00DE0E78"/>
    <w:rsid w:val="00DE5B7E"/>
    <w:rsid w:val="00DE73CC"/>
    <w:rsid w:val="00DF0398"/>
    <w:rsid w:val="00DF16DA"/>
    <w:rsid w:val="00DF2ED7"/>
    <w:rsid w:val="00DF53B8"/>
    <w:rsid w:val="00DF566B"/>
    <w:rsid w:val="00DF5B67"/>
    <w:rsid w:val="00DF6E5A"/>
    <w:rsid w:val="00DF7FBE"/>
    <w:rsid w:val="00E00C88"/>
    <w:rsid w:val="00E0197E"/>
    <w:rsid w:val="00E050E2"/>
    <w:rsid w:val="00E05658"/>
    <w:rsid w:val="00E0667C"/>
    <w:rsid w:val="00E12538"/>
    <w:rsid w:val="00E13051"/>
    <w:rsid w:val="00E1322D"/>
    <w:rsid w:val="00E1458C"/>
    <w:rsid w:val="00E15C84"/>
    <w:rsid w:val="00E16716"/>
    <w:rsid w:val="00E17C08"/>
    <w:rsid w:val="00E17F66"/>
    <w:rsid w:val="00E229AA"/>
    <w:rsid w:val="00E23535"/>
    <w:rsid w:val="00E23BEF"/>
    <w:rsid w:val="00E25BBC"/>
    <w:rsid w:val="00E25BDD"/>
    <w:rsid w:val="00E27E6D"/>
    <w:rsid w:val="00E27F9F"/>
    <w:rsid w:val="00E306E1"/>
    <w:rsid w:val="00E3362A"/>
    <w:rsid w:val="00E34274"/>
    <w:rsid w:val="00E35B9E"/>
    <w:rsid w:val="00E369EF"/>
    <w:rsid w:val="00E36CD2"/>
    <w:rsid w:val="00E36F99"/>
    <w:rsid w:val="00E3724B"/>
    <w:rsid w:val="00E414F8"/>
    <w:rsid w:val="00E42D1F"/>
    <w:rsid w:val="00E46014"/>
    <w:rsid w:val="00E46465"/>
    <w:rsid w:val="00E4795E"/>
    <w:rsid w:val="00E50ABD"/>
    <w:rsid w:val="00E50F89"/>
    <w:rsid w:val="00E53CB7"/>
    <w:rsid w:val="00E55CFA"/>
    <w:rsid w:val="00E55FE3"/>
    <w:rsid w:val="00E56D18"/>
    <w:rsid w:val="00E60AC2"/>
    <w:rsid w:val="00E624A8"/>
    <w:rsid w:val="00E62E26"/>
    <w:rsid w:val="00E632F4"/>
    <w:rsid w:val="00E636FD"/>
    <w:rsid w:val="00E64E8E"/>
    <w:rsid w:val="00E66F79"/>
    <w:rsid w:val="00E70011"/>
    <w:rsid w:val="00E70C0C"/>
    <w:rsid w:val="00E71B7F"/>
    <w:rsid w:val="00E72098"/>
    <w:rsid w:val="00E749C3"/>
    <w:rsid w:val="00E75D0C"/>
    <w:rsid w:val="00E76A82"/>
    <w:rsid w:val="00E81E64"/>
    <w:rsid w:val="00E82822"/>
    <w:rsid w:val="00E831E3"/>
    <w:rsid w:val="00E832DE"/>
    <w:rsid w:val="00E83B58"/>
    <w:rsid w:val="00E84706"/>
    <w:rsid w:val="00E847F7"/>
    <w:rsid w:val="00E8587F"/>
    <w:rsid w:val="00E85971"/>
    <w:rsid w:val="00E877AA"/>
    <w:rsid w:val="00E9283D"/>
    <w:rsid w:val="00E96413"/>
    <w:rsid w:val="00EA0C3D"/>
    <w:rsid w:val="00EA4CC5"/>
    <w:rsid w:val="00EA5ED9"/>
    <w:rsid w:val="00EB2869"/>
    <w:rsid w:val="00EB49E4"/>
    <w:rsid w:val="00EB4C02"/>
    <w:rsid w:val="00EB7B25"/>
    <w:rsid w:val="00EC0285"/>
    <w:rsid w:val="00EC6C9E"/>
    <w:rsid w:val="00EC7317"/>
    <w:rsid w:val="00EC790B"/>
    <w:rsid w:val="00ED07B5"/>
    <w:rsid w:val="00ED0B57"/>
    <w:rsid w:val="00ED0CB1"/>
    <w:rsid w:val="00ED0DE0"/>
    <w:rsid w:val="00ED2A5B"/>
    <w:rsid w:val="00ED324B"/>
    <w:rsid w:val="00ED3A18"/>
    <w:rsid w:val="00ED4EBC"/>
    <w:rsid w:val="00EE0826"/>
    <w:rsid w:val="00EE41D7"/>
    <w:rsid w:val="00EE5C0E"/>
    <w:rsid w:val="00EE6792"/>
    <w:rsid w:val="00EE76D5"/>
    <w:rsid w:val="00EF0666"/>
    <w:rsid w:val="00EF7046"/>
    <w:rsid w:val="00EF73C2"/>
    <w:rsid w:val="00F00C03"/>
    <w:rsid w:val="00F035A0"/>
    <w:rsid w:val="00F0503E"/>
    <w:rsid w:val="00F053F2"/>
    <w:rsid w:val="00F05A77"/>
    <w:rsid w:val="00F077CF"/>
    <w:rsid w:val="00F1068B"/>
    <w:rsid w:val="00F115DE"/>
    <w:rsid w:val="00F11618"/>
    <w:rsid w:val="00F11A0E"/>
    <w:rsid w:val="00F1224F"/>
    <w:rsid w:val="00F157D0"/>
    <w:rsid w:val="00F16415"/>
    <w:rsid w:val="00F1758E"/>
    <w:rsid w:val="00F17DC3"/>
    <w:rsid w:val="00F233FA"/>
    <w:rsid w:val="00F236D3"/>
    <w:rsid w:val="00F25016"/>
    <w:rsid w:val="00F26179"/>
    <w:rsid w:val="00F27044"/>
    <w:rsid w:val="00F2731A"/>
    <w:rsid w:val="00F34554"/>
    <w:rsid w:val="00F355DE"/>
    <w:rsid w:val="00F37C47"/>
    <w:rsid w:val="00F40129"/>
    <w:rsid w:val="00F4070C"/>
    <w:rsid w:val="00F41DA1"/>
    <w:rsid w:val="00F4377A"/>
    <w:rsid w:val="00F43AC6"/>
    <w:rsid w:val="00F446A1"/>
    <w:rsid w:val="00F44834"/>
    <w:rsid w:val="00F44CF0"/>
    <w:rsid w:val="00F5095F"/>
    <w:rsid w:val="00F5276D"/>
    <w:rsid w:val="00F533E2"/>
    <w:rsid w:val="00F564DC"/>
    <w:rsid w:val="00F56D20"/>
    <w:rsid w:val="00F56EF3"/>
    <w:rsid w:val="00F6217F"/>
    <w:rsid w:val="00F62861"/>
    <w:rsid w:val="00F666F3"/>
    <w:rsid w:val="00F70256"/>
    <w:rsid w:val="00F70853"/>
    <w:rsid w:val="00F71640"/>
    <w:rsid w:val="00F72E74"/>
    <w:rsid w:val="00F75226"/>
    <w:rsid w:val="00F759D1"/>
    <w:rsid w:val="00F76D3C"/>
    <w:rsid w:val="00F76FF3"/>
    <w:rsid w:val="00F80482"/>
    <w:rsid w:val="00F8273E"/>
    <w:rsid w:val="00F8463A"/>
    <w:rsid w:val="00F84FC8"/>
    <w:rsid w:val="00F87AB8"/>
    <w:rsid w:val="00F87CFA"/>
    <w:rsid w:val="00F91170"/>
    <w:rsid w:val="00F92C29"/>
    <w:rsid w:val="00F93F9E"/>
    <w:rsid w:val="00F943A1"/>
    <w:rsid w:val="00F95757"/>
    <w:rsid w:val="00F957ED"/>
    <w:rsid w:val="00F95992"/>
    <w:rsid w:val="00FA0932"/>
    <w:rsid w:val="00FA09DC"/>
    <w:rsid w:val="00FA1FF1"/>
    <w:rsid w:val="00FA2D41"/>
    <w:rsid w:val="00FA3FE3"/>
    <w:rsid w:val="00FA6A9F"/>
    <w:rsid w:val="00FA7905"/>
    <w:rsid w:val="00FB01CE"/>
    <w:rsid w:val="00FB04A6"/>
    <w:rsid w:val="00FB0E92"/>
    <w:rsid w:val="00FB0F3B"/>
    <w:rsid w:val="00FB127D"/>
    <w:rsid w:val="00FB369F"/>
    <w:rsid w:val="00FB3A3B"/>
    <w:rsid w:val="00FB3AD8"/>
    <w:rsid w:val="00FB4A3E"/>
    <w:rsid w:val="00FC08F4"/>
    <w:rsid w:val="00FC16CC"/>
    <w:rsid w:val="00FC19DC"/>
    <w:rsid w:val="00FC2D76"/>
    <w:rsid w:val="00FC3296"/>
    <w:rsid w:val="00FC3C04"/>
    <w:rsid w:val="00FC4373"/>
    <w:rsid w:val="00FC5A02"/>
    <w:rsid w:val="00FC5F82"/>
    <w:rsid w:val="00FC62A7"/>
    <w:rsid w:val="00FC66B6"/>
    <w:rsid w:val="00FC76D1"/>
    <w:rsid w:val="00FC7AD8"/>
    <w:rsid w:val="00FD0228"/>
    <w:rsid w:val="00FD2A7C"/>
    <w:rsid w:val="00FD54EC"/>
    <w:rsid w:val="00FE0E1E"/>
    <w:rsid w:val="00FE31E8"/>
    <w:rsid w:val="00FE3F75"/>
    <w:rsid w:val="00FE410A"/>
    <w:rsid w:val="00FE47A9"/>
    <w:rsid w:val="00FE5564"/>
    <w:rsid w:val="00FE6A1B"/>
    <w:rsid w:val="00FF3020"/>
    <w:rsid w:val="00FF335E"/>
    <w:rsid w:val="00FF4391"/>
    <w:rsid w:val="01437C37"/>
    <w:rsid w:val="01441022"/>
    <w:rsid w:val="01562CD7"/>
    <w:rsid w:val="018C2A1E"/>
    <w:rsid w:val="019517AC"/>
    <w:rsid w:val="01959B24"/>
    <w:rsid w:val="01CA9999"/>
    <w:rsid w:val="01D18B2A"/>
    <w:rsid w:val="0248D842"/>
    <w:rsid w:val="02BF763B"/>
    <w:rsid w:val="02FB5559"/>
    <w:rsid w:val="0350C575"/>
    <w:rsid w:val="0397AE80"/>
    <w:rsid w:val="039FE1B7"/>
    <w:rsid w:val="03D50C25"/>
    <w:rsid w:val="03DB38AE"/>
    <w:rsid w:val="0404698D"/>
    <w:rsid w:val="0445A0DE"/>
    <w:rsid w:val="04847AA7"/>
    <w:rsid w:val="04BE16D9"/>
    <w:rsid w:val="04FC4516"/>
    <w:rsid w:val="0531FE36"/>
    <w:rsid w:val="05388AD7"/>
    <w:rsid w:val="05C895DA"/>
    <w:rsid w:val="05D2063A"/>
    <w:rsid w:val="05D6D648"/>
    <w:rsid w:val="060C5F09"/>
    <w:rsid w:val="063645B0"/>
    <w:rsid w:val="063DF5C7"/>
    <w:rsid w:val="0651AF63"/>
    <w:rsid w:val="065C099B"/>
    <w:rsid w:val="06728B60"/>
    <w:rsid w:val="068751E5"/>
    <w:rsid w:val="06918048"/>
    <w:rsid w:val="06BFC44D"/>
    <w:rsid w:val="07546D64"/>
    <w:rsid w:val="076963AB"/>
    <w:rsid w:val="07C62EE9"/>
    <w:rsid w:val="081AECDB"/>
    <w:rsid w:val="082692F1"/>
    <w:rsid w:val="084657CE"/>
    <w:rsid w:val="0848BBDE"/>
    <w:rsid w:val="0866A0D4"/>
    <w:rsid w:val="08A76027"/>
    <w:rsid w:val="091801AC"/>
    <w:rsid w:val="092CD76C"/>
    <w:rsid w:val="0A34A3B4"/>
    <w:rsid w:val="0A378561"/>
    <w:rsid w:val="0AACF8D2"/>
    <w:rsid w:val="0ABB96FC"/>
    <w:rsid w:val="0ABC1CE9"/>
    <w:rsid w:val="0ACE369C"/>
    <w:rsid w:val="0B2D2173"/>
    <w:rsid w:val="0B396BB1"/>
    <w:rsid w:val="0B5F17AD"/>
    <w:rsid w:val="0B932116"/>
    <w:rsid w:val="0BC6CCA0"/>
    <w:rsid w:val="0BCADD8A"/>
    <w:rsid w:val="0BD01348"/>
    <w:rsid w:val="0BD6F540"/>
    <w:rsid w:val="0BE59FC8"/>
    <w:rsid w:val="0C4A4052"/>
    <w:rsid w:val="0CC01684"/>
    <w:rsid w:val="0CDE6652"/>
    <w:rsid w:val="0D33F60C"/>
    <w:rsid w:val="0D5B5A2F"/>
    <w:rsid w:val="0D60ABB4"/>
    <w:rsid w:val="0D898F83"/>
    <w:rsid w:val="0DA3F2DE"/>
    <w:rsid w:val="0DB35F71"/>
    <w:rsid w:val="0E3D6A79"/>
    <w:rsid w:val="0E62FE61"/>
    <w:rsid w:val="0E807BEA"/>
    <w:rsid w:val="0EB6935E"/>
    <w:rsid w:val="0EBBA352"/>
    <w:rsid w:val="0ED358FC"/>
    <w:rsid w:val="0F1F40C3"/>
    <w:rsid w:val="0F2FACF7"/>
    <w:rsid w:val="0F570216"/>
    <w:rsid w:val="0F7D775C"/>
    <w:rsid w:val="0F9D7C8B"/>
    <w:rsid w:val="0FCC1E56"/>
    <w:rsid w:val="0FD72F6C"/>
    <w:rsid w:val="0FEEE4E3"/>
    <w:rsid w:val="100C9B6A"/>
    <w:rsid w:val="101F89EC"/>
    <w:rsid w:val="103EF6A7"/>
    <w:rsid w:val="1063C412"/>
    <w:rsid w:val="10B41CA0"/>
    <w:rsid w:val="10E32A0B"/>
    <w:rsid w:val="10E385C8"/>
    <w:rsid w:val="1109F92C"/>
    <w:rsid w:val="111CF1FA"/>
    <w:rsid w:val="116B78E3"/>
    <w:rsid w:val="116B8432"/>
    <w:rsid w:val="11B3A090"/>
    <w:rsid w:val="11BBAD0D"/>
    <w:rsid w:val="11C80F67"/>
    <w:rsid w:val="11F6251C"/>
    <w:rsid w:val="1236AE44"/>
    <w:rsid w:val="126B8C14"/>
    <w:rsid w:val="1282634F"/>
    <w:rsid w:val="12B48C29"/>
    <w:rsid w:val="12E861DC"/>
    <w:rsid w:val="130A9833"/>
    <w:rsid w:val="13A402AB"/>
    <w:rsid w:val="13E277F8"/>
    <w:rsid w:val="13ECB11D"/>
    <w:rsid w:val="14904E54"/>
    <w:rsid w:val="14978DD5"/>
    <w:rsid w:val="149C3D3D"/>
    <w:rsid w:val="14CBBBBA"/>
    <w:rsid w:val="14DBD9E9"/>
    <w:rsid w:val="15195B19"/>
    <w:rsid w:val="1551B694"/>
    <w:rsid w:val="15D9F60F"/>
    <w:rsid w:val="15E7E28C"/>
    <w:rsid w:val="16032761"/>
    <w:rsid w:val="16046D6E"/>
    <w:rsid w:val="16635AE6"/>
    <w:rsid w:val="166CDB1D"/>
    <w:rsid w:val="168A7EA9"/>
    <w:rsid w:val="169B2BA5"/>
    <w:rsid w:val="16CDB482"/>
    <w:rsid w:val="16D945C7"/>
    <w:rsid w:val="16E3299F"/>
    <w:rsid w:val="17145A92"/>
    <w:rsid w:val="171C2228"/>
    <w:rsid w:val="1725B90A"/>
    <w:rsid w:val="174B6EDE"/>
    <w:rsid w:val="1773C488"/>
    <w:rsid w:val="184DE54F"/>
    <w:rsid w:val="185924EA"/>
    <w:rsid w:val="18C8DDF9"/>
    <w:rsid w:val="18CB3F11"/>
    <w:rsid w:val="18CE63C2"/>
    <w:rsid w:val="18CFBEE8"/>
    <w:rsid w:val="18F323B3"/>
    <w:rsid w:val="1905332B"/>
    <w:rsid w:val="1907F3DB"/>
    <w:rsid w:val="190DA63F"/>
    <w:rsid w:val="19493580"/>
    <w:rsid w:val="19892515"/>
    <w:rsid w:val="19A72EB5"/>
    <w:rsid w:val="19D14C51"/>
    <w:rsid w:val="1A26AA4E"/>
    <w:rsid w:val="1A3E1E7E"/>
    <w:rsid w:val="1A8AEE6D"/>
    <w:rsid w:val="1AA07231"/>
    <w:rsid w:val="1ABAC13F"/>
    <w:rsid w:val="1B2630D8"/>
    <w:rsid w:val="1B459A6B"/>
    <w:rsid w:val="1BCB02DF"/>
    <w:rsid w:val="1BD97108"/>
    <w:rsid w:val="1BEFFBB6"/>
    <w:rsid w:val="1C07DD7B"/>
    <w:rsid w:val="1C477D43"/>
    <w:rsid w:val="1C4FA987"/>
    <w:rsid w:val="1C758866"/>
    <w:rsid w:val="1C7FC943"/>
    <w:rsid w:val="1CCF1F1C"/>
    <w:rsid w:val="1CDA6726"/>
    <w:rsid w:val="1CFF482F"/>
    <w:rsid w:val="1D06E1B4"/>
    <w:rsid w:val="1D1B675E"/>
    <w:rsid w:val="1D25A943"/>
    <w:rsid w:val="1D2FFB03"/>
    <w:rsid w:val="1D309E5B"/>
    <w:rsid w:val="1D420F2B"/>
    <w:rsid w:val="1D50C54E"/>
    <w:rsid w:val="1DC95219"/>
    <w:rsid w:val="1DDB2F0E"/>
    <w:rsid w:val="1E111609"/>
    <w:rsid w:val="1E24F5C8"/>
    <w:rsid w:val="1E341D13"/>
    <w:rsid w:val="1E643BF8"/>
    <w:rsid w:val="1E6ACF4E"/>
    <w:rsid w:val="1E6DFF1E"/>
    <w:rsid w:val="1E960C6F"/>
    <w:rsid w:val="1EA4F974"/>
    <w:rsid w:val="1ECDB7BC"/>
    <w:rsid w:val="1EE76C49"/>
    <w:rsid w:val="1F02A5F0"/>
    <w:rsid w:val="1F0B9B66"/>
    <w:rsid w:val="1F484CB1"/>
    <w:rsid w:val="1F76C739"/>
    <w:rsid w:val="1F7E617F"/>
    <w:rsid w:val="1FB56A15"/>
    <w:rsid w:val="1FB813F4"/>
    <w:rsid w:val="1FF71A13"/>
    <w:rsid w:val="205B42BA"/>
    <w:rsid w:val="206ED2BB"/>
    <w:rsid w:val="20A7036B"/>
    <w:rsid w:val="20B16F0C"/>
    <w:rsid w:val="20B3A2A7"/>
    <w:rsid w:val="20C92FD1"/>
    <w:rsid w:val="20D97064"/>
    <w:rsid w:val="20E60B3D"/>
    <w:rsid w:val="20ED0D63"/>
    <w:rsid w:val="20F1E6E6"/>
    <w:rsid w:val="21328464"/>
    <w:rsid w:val="215BB289"/>
    <w:rsid w:val="2198F507"/>
    <w:rsid w:val="21A8150C"/>
    <w:rsid w:val="21D525B7"/>
    <w:rsid w:val="21DCAB92"/>
    <w:rsid w:val="2200F970"/>
    <w:rsid w:val="2216FE9B"/>
    <w:rsid w:val="223CC753"/>
    <w:rsid w:val="226EAA72"/>
    <w:rsid w:val="2278AADE"/>
    <w:rsid w:val="227BF61E"/>
    <w:rsid w:val="22AEC67F"/>
    <w:rsid w:val="22D05B5F"/>
    <w:rsid w:val="22D96D48"/>
    <w:rsid w:val="2315252B"/>
    <w:rsid w:val="23459CA4"/>
    <w:rsid w:val="23663A7A"/>
    <w:rsid w:val="2371E8A8"/>
    <w:rsid w:val="2374029B"/>
    <w:rsid w:val="237DAAF6"/>
    <w:rsid w:val="238B8B7B"/>
    <w:rsid w:val="23ADD8D0"/>
    <w:rsid w:val="23B00A22"/>
    <w:rsid w:val="23DE7429"/>
    <w:rsid w:val="243570BF"/>
    <w:rsid w:val="24451CD7"/>
    <w:rsid w:val="245ACC95"/>
    <w:rsid w:val="249DE0C4"/>
    <w:rsid w:val="249EB8BA"/>
    <w:rsid w:val="24ACB27E"/>
    <w:rsid w:val="24F72844"/>
    <w:rsid w:val="25329906"/>
    <w:rsid w:val="25569383"/>
    <w:rsid w:val="2558D609"/>
    <w:rsid w:val="255CFA43"/>
    <w:rsid w:val="25926CF1"/>
    <w:rsid w:val="2593C50E"/>
    <w:rsid w:val="261CD000"/>
    <w:rsid w:val="263145B0"/>
    <w:rsid w:val="263BF0A4"/>
    <w:rsid w:val="26822830"/>
    <w:rsid w:val="26A042CC"/>
    <w:rsid w:val="26A85DF2"/>
    <w:rsid w:val="26B2D21D"/>
    <w:rsid w:val="26B9AD60"/>
    <w:rsid w:val="26E7432E"/>
    <w:rsid w:val="26F42838"/>
    <w:rsid w:val="2701F2C6"/>
    <w:rsid w:val="271C709B"/>
    <w:rsid w:val="2750523A"/>
    <w:rsid w:val="27B55E6F"/>
    <w:rsid w:val="27C5D041"/>
    <w:rsid w:val="27CCAC3D"/>
    <w:rsid w:val="281B6091"/>
    <w:rsid w:val="28270960"/>
    <w:rsid w:val="286198E4"/>
    <w:rsid w:val="286432ED"/>
    <w:rsid w:val="28AC2D98"/>
    <w:rsid w:val="28C2010F"/>
    <w:rsid w:val="294FD6E1"/>
    <w:rsid w:val="29756E25"/>
    <w:rsid w:val="299A94C2"/>
    <w:rsid w:val="29AE9AEA"/>
    <w:rsid w:val="29B0ADDB"/>
    <w:rsid w:val="29D312B8"/>
    <w:rsid w:val="29EAC996"/>
    <w:rsid w:val="29FBD1BA"/>
    <w:rsid w:val="2A23E08B"/>
    <w:rsid w:val="2B0AE9E8"/>
    <w:rsid w:val="2B10AA24"/>
    <w:rsid w:val="2B1F8325"/>
    <w:rsid w:val="2B2BFC61"/>
    <w:rsid w:val="2B304021"/>
    <w:rsid w:val="2B5228C9"/>
    <w:rsid w:val="2B54E692"/>
    <w:rsid w:val="2B88B25D"/>
    <w:rsid w:val="2BB506E3"/>
    <w:rsid w:val="2BC6CFF4"/>
    <w:rsid w:val="2C95E679"/>
    <w:rsid w:val="2CACF4DA"/>
    <w:rsid w:val="2CD51374"/>
    <w:rsid w:val="2CE82913"/>
    <w:rsid w:val="2CF3B21B"/>
    <w:rsid w:val="2D01108B"/>
    <w:rsid w:val="2D2421E4"/>
    <w:rsid w:val="2D3B95ED"/>
    <w:rsid w:val="2D60F36B"/>
    <w:rsid w:val="2D7409F5"/>
    <w:rsid w:val="2DA0FB16"/>
    <w:rsid w:val="2DB6016E"/>
    <w:rsid w:val="2E114AF1"/>
    <w:rsid w:val="2E686E59"/>
    <w:rsid w:val="2EC83FEF"/>
    <w:rsid w:val="2EFC11E1"/>
    <w:rsid w:val="2F6CBFCE"/>
    <w:rsid w:val="2F7680DF"/>
    <w:rsid w:val="2F8F81AD"/>
    <w:rsid w:val="2FA2C59B"/>
    <w:rsid w:val="2FE0AC01"/>
    <w:rsid w:val="300D5609"/>
    <w:rsid w:val="304D8BA3"/>
    <w:rsid w:val="30622C36"/>
    <w:rsid w:val="30931F28"/>
    <w:rsid w:val="30FF5EE7"/>
    <w:rsid w:val="3101AF05"/>
    <w:rsid w:val="3128F94C"/>
    <w:rsid w:val="31467BBC"/>
    <w:rsid w:val="317F9C09"/>
    <w:rsid w:val="318917A1"/>
    <w:rsid w:val="318E8EBC"/>
    <w:rsid w:val="319D4226"/>
    <w:rsid w:val="31C1D43F"/>
    <w:rsid w:val="31DCA8D8"/>
    <w:rsid w:val="31E3951F"/>
    <w:rsid w:val="321A8A12"/>
    <w:rsid w:val="32506017"/>
    <w:rsid w:val="329FB4AC"/>
    <w:rsid w:val="32A48379"/>
    <w:rsid w:val="32B564AF"/>
    <w:rsid w:val="32C407F5"/>
    <w:rsid w:val="32C5E83F"/>
    <w:rsid w:val="32C8215C"/>
    <w:rsid w:val="32F9AEBF"/>
    <w:rsid w:val="3313FB79"/>
    <w:rsid w:val="3324C655"/>
    <w:rsid w:val="335632CE"/>
    <w:rsid w:val="3381CBE3"/>
    <w:rsid w:val="33CDDFEA"/>
    <w:rsid w:val="33E7D6FE"/>
    <w:rsid w:val="34113686"/>
    <w:rsid w:val="3415CD66"/>
    <w:rsid w:val="34475E67"/>
    <w:rsid w:val="34A83E61"/>
    <w:rsid w:val="34B21EEC"/>
    <w:rsid w:val="34D5270A"/>
    <w:rsid w:val="34D5D2C3"/>
    <w:rsid w:val="34E082C0"/>
    <w:rsid w:val="34E55A8B"/>
    <w:rsid w:val="34E7320F"/>
    <w:rsid w:val="3543FC9A"/>
    <w:rsid w:val="3578A3A4"/>
    <w:rsid w:val="35878B55"/>
    <w:rsid w:val="359FE831"/>
    <w:rsid w:val="35B5444A"/>
    <w:rsid w:val="35C1798D"/>
    <w:rsid w:val="366F72A9"/>
    <w:rsid w:val="36989090"/>
    <w:rsid w:val="369B8013"/>
    <w:rsid w:val="36A00F62"/>
    <w:rsid w:val="36B62B16"/>
    <w:rsid w:val="36C87A00"/>
    <w:rsid w:val="36FD20DA"/>
    <w:rsid w:val="371D7977"/>
    <w:rsid w:val="3757F254"/>
    <w:rsid w:val="378CF2CA"/>
    <w:rsid w:val="380D135C"/>
    <w:rsid w:val="38476308"/>
    <w:rsid w:val="38A2E0B6"/>
    <w:rsid w:val="38FBCDE1"/>
    <w:rsid w:val="391233F5"/>
    <w:rsid w:val="395727F2"/>
    <w:rsid w:val="395E401E"/>
    <w:rsid w:val="39938880"/>
    <w:rsid w:val="3993D1DE"/>
    <w:rsid w:val="39A1FB25"/>
    <w:rsid w:val="39A981E3"/>
    <w:rsid w:val="39D9EF00"/>
    <w:rsid w:val="39EA4ADE"/>
    <w:rsid w:val="39F71F69"/>
    <w:rsid w:val="3A1FB63F"/>
    <w:rsid w:val="3A2801E8"/>
    <w:rsid w:val="3A7A384E"/>
    <w:rsid w:val="3B1F9B0C"/>
    <w:rsid w:val="3B264327"/>
    <w:rsid w:val="3B44F3BF"/>
    <w:rsid w:val="3B49C08B"/>
    <w:rsid w:val="3B6D3B6F"/>
    <w:rsid w:val="3B806DD9"/>
    <w:rsid w:val="3BE880CE"/>
    <w:rsid w:val="3C2F604F"/>
    <w:rsid w:val="3CB72F29"/>
    <w:rsid w:val="3D925C89"/>
    <w:rsid w:val="3DC1ED6D"/>
    <w:rsid w:val="3DC480DF"/>
    <w:rsid w:val="3E2F4439"/>
    <w:rsid w:val="3E5E92E3"/>
    <w:rsid w:val="3E81EB46"/>
    <w:rsid w:val="3E887059"/>
    <w:rsid w:val="3ECA8933"/>
    <w:rsid w:val="3F064B72"/>
    <w:rsid w:val="3F3758D0"/>
    <w:rsid w:val="3F3CB136"/>
    <w:rsid w:val="3FBABE82"/>
    <w:rsid w:val="3FC4B1C1"/>
    <w:rsid w:val="3FCA0657"/>
    <w:rsid w:val="3FFB558A"/>
    <w:rsid w:val="4034C16C"/>
    <w:rsid w:val="4055EEB6"/>
    <w:rsid w:val="4059E297"/>
    <w:rsid w:val="40655EEA"/>
    <w:rsid w:val="40980D17"/>
    <w:rsid w:val="4162AE2C"/>
    <w:rsid w:val="419B9EF9"/>
    <w:rsid w:val="41AD64E1"/>
    <w:rsid w:val="41F35EF7"/>
    <w:rsid w:val="4231ACF2"/>
    <w:rsid w:val="423C715E"/>
    <w:rsid w:val="425EFBF9"/>
    <w:rsid w:val="426CD320"/>
    <w:rsid w:val="428C53A8"/>
    <w:rsid w:val="42C1C4C6"/>
    <w:rsid w:val="431453DE"/>
    <w:rsid w:val="435E40A1"/>
    <w:rsid w:val="4396CDD9"/>
    <w:rsid w:val="44107555"/>
    <w:rsid w:val="4415A30B"/>
    <w:rsid w:val="4458BF80"/>
    <w:rsid w:val="4463D4ED"/>
    <w:rsid w:val="44A1C313"/>
    <w:rsid w:val="44BA4FB7"/>
    <w:rsid w:val="44CFDA63"/>
    <w:rsid w:val="450C1089"/>
    <w:rsid w:val="452906D5"/>
    <w:rsid w:val="45316563"/>
    <w:rsid w:val="4562F010"/>
    <w:rsid w:val="45E3A7D1"/>
    <w:rsid w:val="45E6FEFC"/>
    <w:rsid w:val="4642562A"/>
    <w:rsid w:val="46B55563"/>
    <w:rsid w:val="46E25A73"/>
    <w:rsid w:val="46E4A0D4"/>
    <w:rsid w:val="471A40F1"/>
    <w:rsid w:val="473CA122"/>
    <w:rsid w:val="475F4BA7"/>
    <w:rsid w:val="47669EEE"/>
    <w:rsid w:val="476E6834"/>
    <w:rsid w:val="47FEFC84"/>
    <w:rsid w:val="48078D98"/>
    <w:rsid w:val="481100E9"/>
    <w:rsid w:val="485C0F5E"/>
    <w:rsid w:val="486E3DC5"/>
    <w:rsid w:val="48CDB0E0"/>
    <w:rsid w:val="48EC92A2"/>
    <w:rsid w:val="495C9FA9"/>
    <w:rsid w:val="49C76429"/>
    <w:rsid w:val="49CA99B6"/>
    <w:rsid w:val="49DC84C3"/>
    <w:rsid w:val="4A158B7E"/>
    <w:rsid w:val="4A549D47"/>
    <w:rsid w:val="4A6933E4"/>
    <w:rsid w:val="4A8C2A24"/>
    <w:rsid w:val="4AAD97C7"/>
    <w:rsid w:val="4AD2580F"/>
    <w:rsid w:val="4B45FCEF"/>
    <w:rsid w:val="4B625454"/>
    <w:rsid w:val="4B881806"/>
    <w:rsid w:val="4B8AC976"/>
    <w:rsid w:val="4C37B52D"/>
    <w:rsid w:val="4C81E0D4"/>
    <w:rsid w:val="4CBB0B05"/>
    <w:rsid w:val="4CBBB046"/>
    <w:rsid w:val="4CC9C78E"/>
    <w:rsid w:val="4CE1FE92"/>
    <w:rsid w:val="4CEDA56E"/>
    <w:rsid w:val="4D464A8E"/>
    <w:rsid w:val="4D804D9D"/>
    <w:rsid w:val="4D9BBF58"/>
    <w:rsid w:val="4E0E2BCE"/>
    <w:rsid w:val="4E0EF7F4"/>
    <w:rsid w:val="4E1F0260"/>
    <w:rsid w:val="4E527880"/>
    <w:rsid w:val="4E6A8F48"/>
    <w:rsid w:val="4E764109"/>
    <w:rsid w:val="4E7C8824"/>
    <w:rsid w:val="4E7D36EB"/>
    <w:rsid w:val="4E8070B4"/>
    <w:rsid w:val="4EAB1CE6"/>
    <w:rsid w:val="4EB0D728"/>
    <w:rsid w:val="4EB48AA0"/>
    <w:rsid w:val="4ED3B02A"/>
    <w:rsid w:val="4EE6E01F"/>
    <w:rsid w:val="4EF0B3AA"/>
    <w:rsid w:val="4EF655C1"/>
    <w:rsid w:val="4F212730"/>
    <w:rsid w:val="4F2E019A"/>
    <w:rsid w:val="4F5274C0"/>
    <w:rsid w:val="4F53AC49"/>
    <w:rsid w:val="4F724409"/>
    <w:rsid w:val="4FAC5A24"/>
    <w:rsid w:val="4FD7785D"/>
    <w:rsid w:val="4FF2EB47"/>
    <w:rsid w:val="50018EDF"/>
    <w:rsid w:val="5092D558"/>
    <w:rsid w:val="50C23303"/>
    <w:rsid w:val="50D6A3C8"/>
    <w:rsid w:val="50DAFEE7"/>
    <w:rsid w:val="50E75E97"/>
    <w:rsid w:val="50F76581"/>
    <w:rsid w:val="510B586C"/>
    <w:rsid w:val="511FAEB1"/>
    <w:rsid w:val="514D8D74"/>
    <w:rsid w:val="516482D0"/>
    <w:rsid w:val="516F05E4"/>
    <w:rsid w:val="51DBD698"/>
    <w:rsid w:val="520FC653"/>
    <w:rsid w:val="5222B2B8"/>
    <w:rsid w:val="522F36EC"/>
    <w:rsid w:val="529A90A3"/>
    <w:rsid w:val="52E31FA5"/>
    <w:rsid w:val="5319328D"/>
    <w:rsid w:val="531A24E1"/>
    <w:rsid w:val="5337E5A8"/>
    <w:rsid w:val="533D264A"/>
    <w:rsid w:val="5385299E"/>
    <w:rsid w:val="53DBBC11"/>
    <w:rsid w:val="544ED907"/>
    <w:rsid w:val="5482BA44"/>
    <w:rsid w:val="54D93545"/>
    <w:rsid w:val="54EB1483"/>
    <w:rsid w:val="552FFD32"/>
    <w:rsid w:val="5540BBE2"/>
    <w:rsid w:val="55421641"/>
    <w:rsid w:val="557F488C"/>
    <w:rsid w:val="5589D8D5"/>
    <w:rsid w:val="55AEE337"/>
    <w:rsid w:val="55B54671"/>
    <w:rsid w:val="55C27EC6"/>
    <w:rsid w:val="55EB494B"/>
    <w:rsid w:val="55FB5F2C"/>
    <w:rsid w:val="560B6C27"/>
    <w:rsid w:val="564F1399"/>
    <w:rsid w:val="569D5015"/>
    <w:rsid w:val="57127F7E"/>
    <w:rsid w:val="571BAA92"/>
    <w:rsid w:val="57540A06"/>
    <w:rsid w:val="57B0852D"/>
    <w:rsid w:val="57BA6C60"/>
    <w:rsid w:val="5824A85E"/>
    <w:rsid w:val="584686A8"/>
    <w:rsid w:val="58942B96"/>
    <w:rsid w:val="58C988CB"/>
    <w:rsid w:val="58EAFE35"/>
    <w:rsid w:val="59446090"/>
    <w:rsid w:val="59490369"/>
    <w:rsid w:val="5964D859"/>
    <w:rsid w:val="5975DB51"/>
    <w:rsid w:val="59797EC2"/>
    <w:rsid w:val="597FE202"/>
    <w:rsid w:val="598CDB79"/>
    <w:rsid w:val="59AA3128"/>
    <w:rsid w:val="59CC62AE"/>
    <w:rsid w:val="59E5D813"/>
    <w:rsid w:val="5A690ABC"/>
    <w:rsid w:val="5A699F33"/>
    <w:rsid w:val="5A975978"/>
    <w:rsid w:val="5AF88F7C"/>
    <w:rsid w:val="5B2AA25C"/>
    <w:rsid w:val="5B3CE881"/>
    <w:rsid w:val="5B4E6899"/>
    <w:rsid w:val="5B58E2EE"/>
    <w:rsid w:val="5BDC4EE7"/>
    <w:rsid w:val="5C06AB81"/>
    <w:rsid w:val="5C27DE39"/>
    <w:rsid w:val="5C42B3B4"/>
    <w:rsid w:val="5C8A1F11"/>
    <w:rsid w:val="5C8E7FB4"/>
    <w:rsid w:val="5CAD9ED0"/>
    <w:rsid w:val="5CB785A5"/>
    <w:rsid w:val="5CCB400B"/>
    <w:rsid w:val="5D0579CE"/>
    <w:rsid w:val="5D06EDB5"/>
    <w:rsid w:val="5D181E4D"/>
    <w:rsid w:val="5D22FE0C"/>
    <w:rsid w:val="5D96777D"/>
    <w:rsid w:val="5DCD2C80"/>
    <w:rsid w:val="5E00D5D6"/>
    <w:rsid w:val="5E140FD0"/>
    <w:rsid w:val="5E250B77"/>
    <w:rsid w:val="5E2571A3"/>
    <w:rsid w:val="5E31D20D"/>
    <w:rsid w:val="5E7D1573"/>
    <w:rsid w:val="5E889AF7"/>
    <w:rsid w:val="5EA582E4"/>
    <w:rsid w:val="5EBEB238"/>
    <w:rsid w:val="5ED6BD19"/>
    <w:rsid w:val="5EFFAEAB"/>
    <w:rsid w:val="5F170B34"/>
    <w:rsid w:val="5F18476C"/>
    <w:rsid w:val="5F3E8E00"/>
    <w:rsid w:val="5F4B836C"/>
    <w:rsid w:val="5F7C1175"/>
    <w:rsid w:val="5FB0D815"/>
    <w:rsid w:val="5FE1285C"/>
    <w:rsid w:val="6012B114"/>
    <w:rsid w:val="60187DCC"/>
    <w:rsid w:val="6031540A"/>
    <w:rsid w:val="60524760"/>
    <w:rsid w:val="607726B3"/>
    <w:rsid w:val="607C57E9"/>
    <w:rsid w:val="60DBE659"/>
    <w:rsid w:val="6103BF89"/>
    <w:rsid w:val="612ECC42"/>
    <w:rsid w:val="6141969C"/>
    <w:rsid w:val="6152B96A"/>
    <w:rsid w:val="615554F3"/>
    <w:rsid w:val="61C3B606"/>
    <w:rsid w:val="61EA5A5E"/>
    <w:rsid w:val="6255DE6C"/>
    <w:rsid w:val="626D755E"/>
    <w:rsid w:val="62AB6113"/>
    <w:rsid w:val="62AF28BC"/>
    <w:rsid w:val="62F5726D"/>
    <w:rsid w:val="62FBA56C"/>
    <w:rsid w:val="630B84AE"/>
    <w:rsid w:val="6343C51B"/>
    <w:rsid w:val="638B7721"/>
    <w:rsid w:val="63A3939C"/>
    <w:rsid w:val="63BA2BDA"/>
    <w:rsid w:val="63E9F2C3"/>
    <w:rsid w:val="63F961D9"/>
    <w:rsid w:val="64092639"/>
    <w:rsid w:val="6482F81D"/>
    <w:rsid w:val="64AAFC52"/>
    <w:rsid w:val="64C90D75"/>
    <w:rsid w:val="65240513"/>
    <w:rsid w:val="652FAA38"/>
    <w:rsid w:val="65808730"/>
    <w:rsid w:val="65853113"/>
    <w:rsid w:val="6591F501"/>
    <w:rsid w:val="659E11AA"/>
    <w:rsid w:val="65B0CE86"/>
    <w:rsid w:val="65C8ECF9"/>
    <w:rsid w:val="65E11368"/>
    <w:rsid w:val="6634DEC1"/>
    <w:rsid w:val="6688E492"/>
    <w:rsid w:val="6697CC2F"/>
    <w:rsid w:val="66ACCF17"/>
    <w:rsid w:val="66E012DF"/>
    <w:rsid w:val="672D80FF"/>
    <w:rsid w:val="67396096"/>
    <w:rsid w:val="6741BCF0"/>
    <w:rsid w:val="6774AC2C"/>
    <w:rsid w:val="67792742"/>
    <w:rsid w:val="67CC1C20"/>
    <w:rsid w:val="67DB6969"/>
    <w:rsid w:val="67FB7A63"/>
    <w:rsid w:val="68674ACC"/>
    <w:rsid w:val="68BBB456"/>
    <w:rsid w:val="690564F3"/>
    <w:rsid w:val="697E5E24"/>
    <w:rsid w:val="6999704B"/>
    <w:rsid w:val="699D5E9C"/>
    <w:rsid w:val="69CE5D1D"/>
    <w:rsid w:val="6A0349A0"/>
    <w:rsid w:val="6A55AD54"/>
    <w:rsid w:val="6ACEFCF7"/>
    <w:rsid w:val="6AD3D867"/>
    <w:rsid w:val="6ADBBDF0"/>
    <w:rsid w:val="6AEFB338"/>
    <w:rsid w:val="6B046645"/>
    <w:rsid w:val="6B64DEE3"/>
    <w:rsid w:val="6B8A829E"/>
    <w:rsid w:val="6BA29ECB"/>
    <w:rsid w:val="6BA8400F"/>
    <w:rsid w:val="6BE4A20F"/>
    <w:rsid w:val="6C17B779"/>
    <w:rsid w:val="6C276DD1"/>
    <w:rsid w:val="6CA7D557"/>
    <w:rsid w:val="6CBA821F"/>
    <w:rsid w:val="6CCAEE8A"/>
    <w:rsid w:val="6D0A2864"/>
    <w:rsid w:val="6D0A296E"/>
    <w:rsid w:val="6D2E6D10"/>
    <w:rsid w:val="6D4E77F4"/>
    <w:rsid w:val="6D78DAD4"/>
    <w:rsid w:val="6DA66D89"/>
    <w:rsid w:val="6DACBF8C"/>
    <w:rsid w:val="6DB397D6"/>
    <w:rsid w:val="6DCB0AFB"/>
    <w:rsid w:val="6DD1B140"/>
    <w:rsid w:val="6DE5A6C1"/>
    <w:rsid w:val="6E4367E5"/>
    <w:rsid w:val="6EA44517"/>
    <w:rsid w:val="6EC59E04"/>
    <w:rsid w:val="6ECC3FD9"/>
    <w:rsid w:val="6EDD7B2E"/>
    <w:rsid w:val="6EF649D2"/>
    <w:rsid w:val="6F0FD06D"/>
    <w:rsid w:val="6F584E87"/>
    <w:rsid w:val="6FAFDE77"/>
    <w:rsid w:val="6FF15A86"/>
    <w:rsid w:val="70363582"/>
    <w:rsid w:val="7083EC48"/>
    <w:rsid w:val="70B48928"/>
    <w:rsid w:val="712876F5"/>
    <w:rsid w:val="71535A81"/>
    <w:rsid w:val="715B62AC"/>
    <w:rsid w:val="7165124F"/>
    <w:rsid w:val="71849B72"/>
    <w:rsid w:val="722439B0"/>
    <w:rsid w:val="724DC437"/>
    <w:rsid w:val="727EB3FA"/>
    <w:rsid w:val="72930575"/>
    <w:rsid w:val="72BF5E9E"/>
    <w:rsid w:val="732327BB"/>
    <w:rsid w:val="7336ADC6"/>
    <w:rsid w:val="736CBE1C"/>
    <w:rsid w:val="7373ACEF"/>
    <w:rsid w:val="737AB282"/>
    <w:rsid w:val="73ACE298"/>
    <w:rsid w:val="73B4EDBB"/>
    <w:rsid w:val="73B70024"/>
    <w:rsid w:val="73BB9EE6"/>
    <w:rsid w:val="73C96260"/>
    <w:rsid w:val="73FDDE34"/>
    <w:rsid w:val="740174A3"/>
    <w:rsid w:val="742E550E"/>
    <w:rsid w:val="745B1860"/>
    <w:rsid w:val="7482A1FD"/>
    <w:rsid w:val="74BCE06C"/>
    <w:rsid w:val="74BDA8D0"/>
    <w:rsid w:val="7525FFF0"/>
    <w:rsid w:val="753B15A4"/>
    <w:rsid w:val="75517864"/>
    <w:rsid w:val="756B0C43"/>
    <w:rsid w:val="75B0E92F"/>
    <w:rsid w:val="75E6477D"/>
    <w:rsid w:val="76058A22"/>
    <w:rsid w:val="766D6852"/>
    <w:rsid w:val="7675DF94"/>
    <w:rsid w:val="769E3C8C"/>
    <w:rsid w:val="76B516EF"/>
    <w:rsid w:val="76E5521E"/>
    <w:rsid w:val="76FE4A23"/>
    <w:rsid w:val="7730BEDA"/>
    <w:rsid w:val="77496278"/>
    <w:rsid w:val="774B155C"/>
    <w:rsid w:val="777E8329"/>
    <w:rsid w:val="77B7926F"/>
    <w:rsid w:val="77BBAB38"/>
    <w:rsid w:val="77C1E2C1"/>
    <w:rsid w:val="77EE4E90"/>
    <w:rsid w:val="782EE9C5"/>
    <w:rsid w:val="7873F950"/>
    <w:rsid w:val="78CAC2E7"/>
    <w:rsid w:val="78D50375"/>
    <w:rsid w:val="78DE27A1"/>
    <w:rsid w:val="78FA85D1"/>
    <w:rsid w:val="79009E1F"/>
    <w:rsid w:val="790F740C"/>
    <w:rsid w:val="793B01CA"/>
    <w:rsid w:val="794D4C11"/>
    <w:rsid w:val="797532F7"/>
    <w:rsid w:val="798FB95F"/>
    <w:rsid w:val="79C34ECC"/>
    <w:rsid w:val="7A4AF66B"/>
    <w:rsid w:val="7A9A3B02"/>
    <w:rsid w:val="7AA7FCEE"/>
    <w:rsid w:val="7AB59954"/>
    <w:rsid w:val="7AD2920A"/>
    <w:rsid w:val="7B1BAB46"/>
    <w:rsid w:val="7B55FCDE"/>
    <w:rsid w:val="7BC397F2"/>
    <w:rsid w:val="7BD2CB74"/>
    <w:rsid w:val="7BF497B7"/>
    <w:rsid w:val="7C251D3B"/>
    <w:rsid w:val="7C3D38EB"/>
    <w:rsid w:val="7C5F6347"/>
    <w:rsid w:val="7C7C464D"/>
    <w:rsid w:val="7CBC751E"/>
    <w:rsid w:val="7CCA51BF"/>
    <w:rsid w:val="7CCB6002"/>
    <w:rsid w:val="7D49FDF6"/>
    <w:rsid w:val="7D7B0A72"/>
    <w:rsid w:val="7DAA9199"/>
    <w:rsid w:val="7DD4C0EC"/>
    <w:rsid w:val="7DE853A3"/>
    <w:rsid w:val="7E0D23E1"/>
    <w:rsid w:val="7E197904"/>
    <w:rsid w:val="7E45712C"/>
    <w:rsid w:val="7ED94AD1"/>
    <w:rsid w:val="7EFE3342"/>
    <w:rsid w:val="7FBC5E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B697"/>
  <w15:chartTrackingRefBased/>
  <w15:docId w15:val="{B914E0A0-8DB4-4DDC-B251-416741BA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4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C23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2343"/>
  </w:style>
  <w:style w:type="character" w:customStyle="1" w:styleId="eop">
    <w:name w:val="eop"/>
    <w:basedOn w:val="DefaultParagraphFont"/>
    <w:rsid w:val="00DC2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4240A1C9B3B4A9EC9CD6D5E2D16E0" ma:contentTypeVersion="6" ma:contentTypeDescription="Create a new document." ma:contentTypeScope="" ma:versionID="95eb522e01cbcafc63069d73aa4217b4">
  <xsd:schema xmlns:xsd="http://www.w3.org/2001/XMLSchema" xmlns:xs="http://www.w3.org/2001/XMLSchema" xmlns:p="http://schemas.microsoft.com/office/2006/metadata/properties" xmlns:ns2="2d1431c5-1a7d-4907-9911-f715a48bab68" xmlns:ns3="eae8a03f-9791-47c9-921e-d9bd03885fcb" targetNamespace="http://schemas.microsoft.com/office/2006/metadata/properties" ma:root="true" ma:fieldsID="8e705573319ac59d6bdf9b4e0b45a6f8" ns2:_="" ns3:_="">
    <xsd:import namespace="2d1431c5-1a7d-4907-9911-f715a48bab68"/>
    <xsd:import namespace="eae8a03f-9791-47c9-921e-d9bd03885f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431c5-1a7d-4907-9911-f715a48b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8a03f-9791-47c9-921e-d9bd03885f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D9537-3986-4A2B-A7E9-1677DAD05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431c5-1a7d-4907-9911-f715a48bab68"/>
    <ds:schemaRef ds:uri="eae8a03f-9791-47c9-921e-d9bd03885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2A466-6544-41DE-99C7-6F654E53F332}">
  <ds:schemaRefs>
    <ds:schemaRef ds:uri="http://schemas.microsoft.com/sharepoint/v3/contenttype/forms"/>
  </ds:schemaRefs>
</ds:datastoreItem>
</file>

<file path=customXml/itemProps3.xml><?xml version="1.0" encoding="utf-8"?>
<ds:datastoreItem xmlns:ds="http://schemas.openxmlformats.org/officeDocument/2006/customXml" ds:itemID="{2F1F6FCD-F9F3-436B-B387-C933FF848DF9}">
  <ds:schemaRefs>
    <ds:schemaRef ds:uri="http://purl.org/dc/terms/"/>
    <ds:schemaRef ds:uri="http://schemas.microsoft.com/office/infopath/2007/PartnerControls"/>
    <ds:schemaRef ds:uri="http://schemas.microsoft.com/office/2006/documentManagement/types"/>
    <ds:schemaRef ds:uri="eae8a03f-9791-47c9-921e-d9bd03885fcb"/>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 ds:uri="2d1431c5-1a7d-4907-9911-f715a48bab68"/>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58</Pages>
  <Words>25395</Words>
  <Characters>144753</Characters>
  <Application>Microsoft Office Word</Application>
  <DocSecurity>0</DocSecurity>
  <Lines>1206</Lines>
  <Paragraphs>339</Paragraphs>
  <ScaleCrop>false</ScaleCrop>
  <Company>Big Bend Community College</Company>
  <LinksUpToDate>false</LinksUpToDate>
  <CharactersWithSpaces>169809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Mayhugh, David</dc:creator>
  <cp:keywords/>
  <dc:description/>
  <cp:lastModifiedBy>Mayhugh, David</cp:lastModifiedBy>
  <cp:revision>447</cp:revision>
  <dcterms:created xsi:type="dcterms:W3CDTF">2025-06-24T21:12:00Z</dcterms:created>
  <dcterms:modified xsi:type="dcterms:W3CDTF">2025-08-25T04:16:00Z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0x010100DF84240A1C9B3B4A9EC9CD6D5E2D16E0</vt:lpwstr>
  </property>
</Properties>
</file>